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166" w:rsidRDefault="003959A3" w:rsidP="00172166">
      <w:pPr>
        <w:rPr>
          <w:rStyle w:val="Emphasis"/>
          <w:i w:val="0"/>
          <w:color w:val="FF0000"/>
          <w:sz w:val="36"/>
          <w:szCs w:val="36"/>
        </w:rPr>
      </w:pPr>
      <w:r w:rsidRPr="00960A98">
        <w:rPr>
          <w:rStyle w:val="Emphasis"/>
          <w:i w:val="0"/>
          <w:color w:val="FF0000"/>
          <w:sz w:val="36"/>
          <w:szCs w:val="36"/>
        </w:rPr>
        <w:t>A Unified Survival-Based Energy Framework for Plant Color Stability and Productivity</w:t>
      </w:r>
    </w:p>
    <w:p w:rsidR="00960A98" w:rsidRPr="00960A98" w:rsidRDefault="00960A98" w:rsidP="00172166">
      <w:pPr>
        <w:rPr>
          <w:i/>
          <w:color w:val="FF0000"/>
          <w:sz w:val="36"/>
          <w:szCs w:val="36"/>
        </w:rPr>
      </w:pPr>
      <w:r w:rsidRPr="002A5F06">
        <w:rPr>
          <w:bCs/>
          <w:i/>
          <w:sz w:val="28"/>
          <w:szCs w:val="28"/>
        </w:rPr>
        <w:t>Prepared, verified, and formatted by:</w:t>
      </w:r>
      <w:r w:rsidRPr="00727412">
        <w:rPr>
          <w:bCs/>
          <w:i/>
          <w:sz w:val="28"/>
          <w:szCs w:val="28"/>
        </w:rPr>
        <w:t xml:space="preserve"> </w:t>
      </w:r>
      <w:proofErr w:type="spellStart"/>
      <w:r w:rsidRPr="002A5F06">
        <w:rPr>
          <w:bCs/>
          <w:i/>
          <w:sz w:val="28"/>
          <w:szCs w:val="28"/>
        </w:rPr>
        <w:t>Mokhdum</w:t>
      </w:r>
      <w:proofErr w:type="spellEnd"/>
      <w:r w:rsidRPr="002A5F06">
        <w:rPr>
          <w:bCs/>
          <w:i/>
          <w:sz w:val="28"/>
          <w:szCs w:val="28"/>
        </w:rPr>
        <w:t xml:space="preserve"> </w:t>
      </w:r>
      <w:proofErr w:type="spellStart"/>
      <w:r w:rsidRPr="002A5F06">
        <w:rPr>
          <w:bCs/>
          <w:i/>
          <w:sz w:val="28"/>
          <w:szCs w:val="28"/>
        </w:rPr>
        <w:t>Mashrafi</w:t>
      </w:r>
      <w:proofErr w:type="spellEnd"/>
      <w:r w:rsidRPr="002A5F06">
        <w:rPr>
          <w:bCs/>
          <w:i/>
          <w:sz w:val="28"/>
          <w:szCs w:val="28"/>
        </w:rPr>
        <w:t xml:space="preserve"> (</w:t>
      </w:r>
      <w:proofErr w:type="spellStart"/>
      <w:r w:rsidRPr="002A5F06">
        <w:rPr>
          <w:bCs/>
          <w:i/>
          <w:sz w:val="28"/>
          <w:szCs w:val="28"/>
        </w:rPr>
        <w:t>Mehadi</w:t>
      </w:r>
      <w:proofErr w:type="spellEnd"/>
      <w:r w:rsidRPr="002A5F06">
        <w:rPr>
          <w:bCs/>
          <w:i/>
          <w:sz w:val="28"/>
          <w:szCs w:val="28"/>
        </w:rPr>
        <w:t xml:space="preserve"> </w:t>
      </w:r>
      <w:proofErr w:type="spellStart"/>
      <w:r w:rsidRPr="002A5F06">
        <w:rPr>
          <w:bCs/>
          <w:i/>
          <w:sz w:val="28"/>
          <w:szCs w:val="28"/>
        </w:rPr>
        <w:t>Laja</w:t>
      </w:r>
      <w:proofErr w:type="spellEnd"/>
      <w:r w:rsidR="006E2342">
        <w:rPr>
          <w:bCs/>
          <w:i/>
          <w:sz w:val="28"/>
          <w:szCs w:val="28"/>
        </w:rPr>
        <w:t>)</w:t>
      </w:r>
    </w:p>
    <w:p w:rsidR="002960E1" w:rsidRDefault="002960E1" w:rsidP="00172166"/>
    <w:p w:rsidR="002960E1" w:rsidRDefault="002960E1" w:rsidP="00172166"/>
    <w:p w:rsidR="002960E1" w:rsidRDefault="002960E1" w:rsidP="002960E1">
      <w:pPr>
        <w:rPr>
          <w:rStyle w:val="Strong"/>
          <w:b w:val="0"/>
          <w:bCs w:val="0"/>
        </w:rPr>
      </w:pPr>
      <w:r>
        <w:rPr>
          <w:noProof/>
        </w:rPr>
        <w:drawing>
          <wp:inline distT="0" distB="0" distL="0" distR="0">
            <wp:extent cx="3200400" cy="2236177"/>
            <wp:effectExtent l="19050" t="0" r="0" b="0"/>
            <wp:docPr id="30" name="Picture 30" descr="https://images.openai.com/static-rsc-3/IL2OEOI49yXFc02RYOagYPJ4IhkIFoLdkA75wN_YQUY-19ODMCpB31EEh-2KO6wzAAvFBajEae4mcgWsCdGtGdi2-5aRuzC9C0AmsOFIEsk?purpose=fullsize&amp;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images.openai.com/static-rsc-3/IL2OEOI49yXFc02RYOagYPJ4IhkIFoLdkA75wN_YQUY-19ODMCpB31EEh-2KO6wzAAvFBajEae4mcgWsCdGtGdi2-5aRuzC9C0AmsOFIEsk?purpose=fullsize&amp;v=1"/>
                    <pic:cNvPicPr>
                      <a:picLocks noChangeAspect="1" noChangeArrowheads="1"/>
                    </pic:cNvPicPr>
                  </pic:nvPicPr>
                  <pic:blipFill>
                    <a:blip r:embed="rId5" cstate="print"/>
                    <a:srcRect/>
                    <a:stretch>
                      <a:fillRect/>
                    </a:stretch>
                  </pic:blipFill>
                  <pic:spPr bwMode="auto">
                    <a:xfrm>
                      <a:off x="0" y="0"/>
                      <a:ext cx="3200400" cy="2236177"/>
                    </a:xfrm>
                    <a:prstGeom prst="rect">
                      <a:avLst/>
                    </a:prstGeom>
                    <a:noFill/>
                    <a:ln w="9525">
                      <a:noFill/>
                      <a:miter lim="800000"/>
                      <a:headEnd/>
                      <a:tailEnd/>
                    </a:ln>
                  </pic:spPr>
                </pic:pic>
              </a:graphicData>
            </a:graphic>
          </wp:inline>
        </w:drawing>
      </w:r>
      <w:r w:rsidRPr="002960E1">
        <w:t xml:space="preserve"> </w:t>
      </w:r>
      <w:r>
        <w:rPr>
          <w:noProof/>
        </w:rPr>
        <w:drawing>
          <wp:inline distT="0" distB="0" distL="0" distR="0">
            <wp:extent cx="1803856" cy="1993392"/>
            <wp:effectExtent l="19050" t="0" r="5894" b="0"/>
            <wp:docPr id="33" name="Picture 33" descr="https://images.openai.com/static-rsc-3/PV2diGN2qkEVCfBxezCHLKTOH00kI0B9i1Eq91FbL2qH5RQvCFweduomOtSjBa8QlTdrlcfDvdgGjvJCt9xNZIxJkslE9cWM7NA3A2xPh4Q?purpose=fullsize&amp;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images.openai.com/static-rsc-3/PV2diGN2qkEVCfBxezCHLKTOH00kI0B9i1Eq91FbL2qH5RQvCFweduomOtSjBa8QlTdrlcfDvdgGjvJCt9xNZIxJkslE9cWM7NA3A2xPh4Q?purpose=fullsize&amp;v=1"/>
                    <pic:cNvPicPr>
                      <a:picLocks noChangeAspect="1" noChangeArrowheads="1"/>
                    </pic:cNvPicPr>
                  </pic:nvPicPr>
                  <pic:blipFill>
                    <a:blip r:embed="rId6" cstate="print"/>
                    <a:srcRect/>
                    <a:stretch>
                      <a:fillRect/>
                    </a:stretch>
                  </pic:blipFill>
                  <pic:spPr bwMode="auto">
                    <a:xfrm>
                      <a:off x="0" y="0"/>
                      <a:ext cx="1803856" cy="1993392"/>
                    </a:xfrm>
                    <a:prstGeom prst="rect">
                      <a:avLst/>
                    </a:prstGeom>
                    <a:noFill/>
                    <a:ln w="9525">
                      <a:noFill/>
                      <a:miter lim="800000"/>
                      <a:headEnd/>
                      <a:tailEnd/>
                    </a:ln>
                  </pic:spPr>
                </pic:pic>
              </a:graphicData>
            </a:graphic>
          </wp:inline>
        </w:drawing>
      </w:r>
      <w:r>
        <w:rPr>
          <w:noProof/>
        </w:rPr>
        <w:drawing>
          <wp:inline distT="0" distB="0" distL="0" distR="0">
            <wp:extent cx="3200400" cy="1800225"/>
            <wp:effectExtent l="19050" t="0" r="0" b="0"/>
            <wp:docPr id="36" name="Picture 36" descr="https://images.openai.com/static-rsc-3/Ab34ds3fX2L9Mt2PdZ_ah2DIozmg2IX0ePEUDXRi3OAU3ctDMexAyIkP5_UeUg951C1foEwSO9p-TEsuX70J3QZSTBdrErwKhCCqaL1PCdg?purpose=fullsize&amp;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images.openai.com/static-rsc-3/Ab34ds3fX2L9Mt2PdZ_ah2DIozmg2IX0ePEUDXRi3OAU3ctDMexAyIkP5_UeUg951C1foEwSO9p-TEsuX70J3QZSTBdrErwKhCCqaL1PCdg?purpose=fullsize&amp;v=1"/>
                    <pic:cNvPicPr>
                      <a:picLocks noChangeAspect="1" noChangeArrowheads="1"/>
                    </pic:cNvPicPr>
                  </pic:nvPicPr>
                  <pic:blipFill>
                    <a:blip r:embed="rId7" cstate="print"/>
                    <a:srcRect/>
                    <a:stretch>
                      <a:fillRect/>
                    </a:stretch>
                  </pic:blipFill>
                  <pic:spPr bwMode="auto">
                    <a:xfrm>
                      <a:off x="0" y="0"/>
                      <a:ext cx="3200400" cy="1800225"/>
                    </a:xfrm>
                    <a:prstGeom prst="rect">
                      <a:avLst/>
                    </a:prstGeom>
                    <a:noFill/>
                    <a:ln w="9525">
                      <a:noFill/>
                      <a:miter lim="800000"/>
                      <a:headEnd/>
                      <a:tailEnd/>
                    </a:ln>
                  </pic:spPr>
                </pic:pic>
              </a:graphicData>
            </a:graphic>
          </wp:inline>
        </w:drawing>
      </w:r>
      <w:r w:rsidRPr="002960E1">
        <w:t xml:space="preserve"> </w:t>
      </w:r>
      <w:r>
        <w:rPr>
          <w:noProof/>
        </w:rPr>
        <w:drawing>
          <wp:inline distT="0" distB="0" distL="0" distR="0">
            <wp:extent cx="3200400" cy="1706880"/>
            <wp:effectExtent l="19050" t="0" r="0" b="0"/>
            <wp:docPr id="39" name="Picture 39" descr="Photosynthetic pigments : Chlorophyll a and Chlorophyll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Photosynthetic pigments : Chlorophyll a and Chlorophyll b"/>
                    <pic:cNvPicPr>
                      <a:picLocks noChangeAspect="1" noChangeArrowheads="1"/>
                    </pic:cNvPicPr>
                  </pic:nvPicPr>
                  <pic:blipFill>
                    <a:blip r:embed="rId8" cstate="print"/>
                    <a:srcRect/>
                    <a:stretch>
                      <a:fillRect/>
                    </a:stretch>
                  </pic:blipFill>
                  <pic:spPr bwMode="auto">
                    <a:xfrm>
                      <a:off x="0" y="0"/>
                      <a:ext cx="3200400" cy="1706880"/>
                    </a:xfrm>
                    <a:prstGeom prst="rect">
                      <a:avLst/>
                    </a:prstGeom>
                    <a:noFill/>
                    <a:ln w="9525">
                      <a:noFill/>
                      <a:miter lim="800000"/>
                      <a:headEnd/>
                      <a:tailEnd/>
                    </a:ln>
                  </pic:spPr>
                </pic:pic>
              </a:graphicData>
            </a:graphic>
          </wp:inline>
        </w:drawing>
      </w:r>
    </w:p>
    <w:p w:rsidR="00172166" w:rsidRPr="00E21408" w:rsidRDefault="00172166" w:rsidP="00172166">
      <w:pPr>
        <w:pStyle w:val="Heading2"/>
        <w:rPr>
          <w:color w:val="000000" w:themeColor="text1"/>
        </w:rPr>
      </w:pPr>
      <w:r w:rsidRPr="00E21408">
        <w:rPr>
          <w:rStyle w:val="Strong"/>
          <w:b/>
          <w:bCs/>
          <w:color w:val="000000" w:themeColor="text1"/>
        </w:rPr>
        <w:lastRenderedPageBreak/>
        <w:t xml:space="preserve">Abstract </w:t>
      </w:r>
    </w:p>
    <w:p w:rsidR="00172166" w:rsidRDefault="00172166" w:rsidP="00172166">
      <w:pPr>
        <w:pStyle w:val="NormalWeb"/>
      </w:pPr>
      <w:r>
        <w:t xml:space="preserve">Plant coloration, expressed through leaf greenness, floral pigmentation, and fruit color intensity, reflects the integrated outcome of pigment biosynthesis, optical absorption, metabolic regulation, and energy–mass exchange with the environment. While the biochemical pathways governing the synthesis and degradation of major pigment classes—including chlorophylls, </w:t>
      </w:r>
      <w:proofErr w:type="spellStart"/>
      <w:r>
        <w:t>carotenoids</w:t>
      </w:r>
      <w:proofErr w:type="spellEnd"/>
      <w:r>
        <w:t xml:space="preserve">, and </w:t>
      </w:r>
      <w:proofErr w:type="spellStart"/>
      <w:r>
        <w:t>anthocyanins</w:t>
      </w:r>
      <w:proofErr w:type="spellEnd"/>
      <w:r>
        <w:t>—are well established, existing models largely interpret color expression as a localized biochemical phenomenon. Such approaches do not explicitly account for whole-plant energy balance, transpiration-driven losses, or thermodynamic constraints, limiting their ability to explain widely observed patterns of color saturation, stress-induced fading, and species-specific stability across environmental gradients.</w:t>
      </w:r>
    </w:p>
    <w:p w:rsidR="00172166" w:rsidRDefault="00172166" w:rsidP="00172166">
      <w:pPr>
        <w:pStyle w:val="NormalWeb"/>
      </w:pPr>
      <w:r>
        <w:t xml:space="preserve">Here we develop a unified framework for plant color generation and stability that treats pigmentation as a </w:t>
      </w:r>
      <w:r>
        <w:rPr>
          <w:rStyle w:val="Strong"/>
        </w:rPr>
        <w:t>survival-limited energetic process</w:t>
      </w:r>
      <w:r>
        <w:t xml:space="preserve"> embedded within the broader dynamics of absorption, transport, metabolism, and entropy production. Central to the framework is a dimensionless </w:t>
      </w:r>
      <w:r>
        <w:rPr>
          <w:rStyle w:val="Strong"/>
        </w:rPr>
        <w:t>energy survival factor</w:t>
      </w:r>
      <w:r>
        <w:t>,</w:t>
      </w:r>
    </w:p>
    <w:p w:rsidR="00172166" w:rsidRDefault="00172166" w:rsidP="00172166">
      <w:r>
        <w:rPr>
          <w:rStyle w:val="katex-mathml"/>
        </w:rPr>
        <w:t>Ψ=AE</w:t>
      </w:r>
      <w:r w:rsidR="00E21408">
        <w:rPr>
          <w:rStyle w:val="katex-mathml"/>
        </w:rPr>
        <w:t>/</w:t>
      </w:r>
      <w:proofErr w:type="spellStart"/>
      <w:r>
        <w:rPr>
          <w:rStyle w:val="katex-mathml"/>
        </w:rPr>
        <w:t>TE+ε</w:t>
      </w:r>
      <w:proofErr w:type="spellEnd"/>
    </w:p>
    <w:p w:rsidR="00172166" w:rsidRDefault="00172166" w:rsidP="00172166">
      <w:pPr>
        <w:pStyle w:val="NormalWeb"/>
      </w:pPr>
      <w:proofErr w:type="gramStart"/>
      <w:r>
        <w:t>where</w:t>
      </w:r>
      <w:proofErr w:type="gramEnd"/>
      <w:r>
        <w:t xml:space="preserve"> </w:t>
      </w:r>
      <w:r>
        <w:rPr>
          <w:rStyle w:val="mord"/>
        </w:rPr>
        <w:t>AE</w:t>
      </w:r>
      <w:r>
        <w:t xml:space="preserve"> represents absorbed and retained energetic and elemental resources relevant to pigment formation, </w:t>
      </w:r>
      <w:r>
        <w:rPr>
          <w:rStyle w:val="mord"/>
        </w:rPr>
        <w:t>TE</w:t>
      </w:r>
      <w:r>
        <w:t xml:space="preserve"> denotes transpiration-linked, metabolic, and environmental dissipation losses, and </w:t>
      </w:r>
      <w:r>
        <w:rPr>
          <w:rStyle w:val="katex-mathml"/>
        </w:rPr>
        <w:t>ε</w:t>
      </w:r>
      <w:r>
        <w:t xml:space="preserve"> captures irreducible entropy-producing degradation inherent to non-equilibrium biological systems. </w:t>
      </w:r>
      <w:proofErr w:type="gramStart"/>
      <w:r>
        <w:t xml:space="preserve">By construction, </w:t>
      </w:r>
      <w:r>
        <w:rPr>
          <w:rStyle w:val="katex-mathml"/>
        </w:rPr>
        <w:t>0&lt;Ψ&lt;1</w:t>
      </w:r>
      <w:r>
        <w:t>, ensuring full compliance with the second law of thermodynamics.</w:t>
      </w:r>
      <w:proofErr w:type="gramEnd"/>
    </w:p>
    <w:p w:rsidR="00172166" w:rsidRDefault="00172166" w:rsidP="00172166">
      <w:pPr>
        <w:pStyle w:val="NormalWeb"/>
      </w:pPr>
      <w:r>
        <w:t xml:space="preserve">When combined with pigment-specific optical absorption coefficients and physiological limitation functions, the framework yields a physically interpretable description of both pigment concentration and color stability. Empirical ranges for absorbed </w:t>
      </w:r>
      <w:proofErr w:type="spellStart"/>
      <w:r>
        <w:t>photosynthetically</w:t>
      </w:r>
      <w:proofErr w:type="spellEnd"/>
      <w:r>
        <w:t xml:space="preserve"> active radiation (≈45–70%), excitation survival (≈85–95%), and respiratory and transpiration losses (≈30–60% of assimilated resources) naturally constrain </w:t>
      </w:r>
      <w:r>
        <w:rPr>
          <w:rStyle w:val="mord"/>
        </w:rPr>
        <w:t>Ψ</w:t>
      </w:r>
      <w:r>
        <w:t>, predicting observed limits on sustained pigment accumulation without invoking biochemical inefficiency or ad hoc correction factors.</w:t>
      </w:r>
    </w:p>
    <w:p w:rsidR="00172166" w:rsidRDefault="00172166" w:rsidP="00172166">
      <w:pPr>
        <w:pStyle w:val="NormalWeb"/>
      </w:pPr>
      <w:r>
        <w:t xml:space="preserve">The analysis demonstrates that increased light availability or enhanced biosynthetic capacity alone does not intensify coloration unless absorbed resources survive transport and loss processes. Stress-induced </w:t>
      </w:r>
      <w:proofErr w:type="spellStart"/>
      <w:r>
        <w:t>chlorosis</w:t>
      </w:r>
      <w:proofErr w:type="spellEnd"/>
      <w:r>
        <w:t xml:space="preserve">, transient </w:t>
      </w:r>
      <w:proofErr w:type="spellStart"/>
      <w:r>
        <w:t>anthocyanin</w:t>
      </w:r>
      <w:proofErr w:type="spellEnd"/>
      <w:r>
        <w:t xml:space="preserve"> accumulation, and saturation of greenness under high irradiance emerge as direct consequences of reduced energy survival rather than impaired pigment synthesis. By explicitly separating survival from synthesis, the framework reconciles molecular-scale pigment biochemistry with whole-plant and ecosystem-scale color dynamics.</w:t>
      </w:r>
    </w:p>
    <w:p w:rsidR="00172166" w:rsidRDefault="00172166" w:rsidP="00172166">
      <w:pPr>
        <w:pStyle w:val="NormalWeb"/>
      </w:pPr>
      <w:r>
        <w:t xml:space="preserve">This survival-based formulation provides a unified physical basis for interpreting plant color variation across species and environments and offers a scalable foundation for crop stress diagnostics, remote-sensing interpretation, and comparative plant </w:t>
      </w:r>
      <w:proofErr w:type="spellStart"/>
      <w:r>
        <w:t>phenotyping</w:t>
      </w:r>
      <w:proofErr w:type="spellEnd"/>
      <w:r>
        <w:t xml:space="preserve">. More broadly, it extends survival-limited energy principles to visible plant traits, advancing plant science beyond </w:t>
      </w:r>
      <w:r>
        <w:lastRenderedPageBreak/>
        <w:t>isolated biochemical descriptions toward a systems-level understanding of how energy governs phenotypic expression.</w:t>
      </w:r>
    </w:p>
    <w:p w:rsidR="00172166" w:rsidRPr="00E34E0B" w:rsidRDefault="00172166" w:rsidP="00172166">
      <w:pPr>
        <w:pStyle w:val="Heading2"/>
        <w:rPr>
          <w:color w:val="000000" w:themeColor="text1"/>
        </w:rPr>
      </w:pPr>
      <w:r w:rsidRPr="00E34E0B">
        <w:rPr>
          <w:rStyle w:val="Strong"/>
          <w:b/>
          <w:bCs/>
          <w:color w:val="000000" w:themeColor="text1"/>
        </w:rPr>
        <w:t>1. Introduction</w:t>
      </w:r>
    </w:p>
    <w:p w:rsidR="00172166" w:rsidRDefault="00172166" w:rsidP="00172166">
      <w:pPr>
        <w:pStyle w:val="NormalWeb"/>
      </w:pPr>
      <w:r>
        <w:t xml:space="preserve">Plant coloration is among the most readily observable manifestations of physiological state and functional performance. Leaf greenness reflects chlorophyll abundance and photosynthetic capacity, while yellow, orange, red, and purple hues arise primarily from </w:t>
      </w:r>
      <w:proofErr w:type="spellStart"/>
      <w:r>
        <w:t>carotenoids</w:t>
      </w:r>
      <w:proofErr w:type="spellEnd"/>
      <w:r>
        <w:t xml:space="preserve">, </w:t>
      </w:r>
      <w:proofErr w:type="spellStart"/>
      <w:r>
        <w:t>anthocyanins</w:t>
      </w:r>
      <w:proofErr w:type="spellEnd"/>
      <w:r>
        <w:t xml:space="preserve">, and related pigment classes associated with </w:t>
      </w:r>
      <w:proofErr w:type="spellStart"/>
      <w:r>
        <w:t>photoprotection</w:t>
      </w:r>
      <w:proofErr w:type="spellEnd"/>
      <w:r>
        <w:t>, antioxidant activity, and developmental signaling. Quantitative indices derived from plant color—such as SPAD chlorophyll meters and satellite-based vegetation indices—are routinely used to infer nutrient status, productivity, stress exposure, and ecosystem function across spatial scales ranging from individual leaves to global biomes.</w:t>
      </w:r>
    </w:p>
    <w:p w:rsidR="00172166" w:rsidRDefault="00172166" w:rsidP="00172166">
      <w:pPr>
        <w:pStyle w:val="NormalWeb"/>
      </w:pPr>
      <w:r>
        <w:t xml:space="preserve">The biochemical pathways governing pigment synthesis, modification, and degradation are well characterized at the molecular level. Chlorophyll biosynthesis depends on nitrogen, magnesium, and iron availability; </w:t>
      </w:r>
      <w:proofErr w:type="spellStart"/>
      <w:r>
        <w:t>carotenoids</w:t>
      </w:r>
      <w:proofErr w:type="spellEnd"/>
      <w:r>
        <w:t xml:space="preserve"> are derived from </w:t>
      </w:r>
      <w:proofErr w:type="spellStart"/>
      <w:r>
        <w:t>isoprenoid</w:t>
      </w:r>
      <w:proofErr w:type="spellEnd"/>
      <w:r>
        <w:t xml:space="preserve"> pathways linked to carbon and energy status; and </w:t>
      </w:r>
      <w:proofErr w:type="spellStart"/>
      <w:r>
        <w:t>anthocyanins</w:t>
      </w:r>
      <w:proofErr w:type="spellEnd"/>
      <w:r>
        <w:t xml:space="preserve"> are synthesized through </w:t>
      </w:r>
      <w:proofErr w:type="spellStart"/>
      <w:r>
        <w:t>phenylpropanoid</w:t>
      </w:r>
      <w:proofErr w:type="spellEnd"/>
      <w:r>
        <w:t xml:space="preserve"> metabolism in response to environmental cues. Despite this detailed biochemical understanding, a persistent and widely observed discrepancy remains: pigment expression frequently declines, saturates, or shifts in composition even under conditions where light is abundant and the genetic and enzymatic machinery for synthesis remains intact.</w:t>
      </w:r>
    </w:p>
    <w:p w:rsidR="00172166" w:rsidRDefault="00172166" w:rsidP="00172166">
      <w:pPr>
        <w:pStyle w:val="NormalWeb"/>
      </w:pPr>
      <w:r>
        <w:t xml:space="preserve">Classical explanations for such behavior typically invoke nutrient deficiency, oxidative stress, </w:t>
      </w:r>
      <w:proofErr w:type="spellStart"/>
      <w:r>
        <w:t>photoinhibition</w:t>
      </w:r>
      <w:proofErr w:type="spellEnd"/>
      <w:r>
        <w:t>, or transcriptional regulation of biosynthetic genes. While each of these mechanisms is empirically supported, they are commonly treated as isolated causes rather than as components of a unified physical process. As a result, current interpretations are often descriptive and context-specific, offering limited predictive power and failing to explain why similar color responses emerge across diverse species and environments.</w:t>
      </w:r>
    </w:p>
    <w:p w:rsidR="00172166" w:rsidRDefault="00172166" w:rsidP="00172166">
      <w:pPr>
        <w:pStyle w:val="NormalWeb"/>
      </w:pPr>
      <w:r>
        <w:t xml:space="preserve">Plants, however, operate as open, non-equilibrium thermodynamic systems. Pigment synthesis and maintenance occur within a continuous flux of energy and matter driven by radiation absorption, gas exchange, water transport, metabolic turnover, and transpiration. Each stage of this flux introduces unavoidable losses associated with transport resistance, metabolic maintenance, and irreversible entropy production. Empirical studies consistently show that transpiration and respiration consume a substantial fraction—often 30–60%—of assimilated carbon and energy, while stress conditions further increase dissipation through </w:t>
      </w:r>
      <w:proofErr w:type="spellStart"/>
      <w:r>
        <w:t>photoprotective</w:t>
      </w:r>
      <w:proofErr w:type="spellEnd"/>
      <w:r>
        <w:t xml:space="preserve"> and regulatory pathways.</w:t>
      </w:r>
    </w:p>
    <w:p w:rsidR="00172166" w:rsidRDefault="00172166" w:rsidP="00172166">
      <w:pPr>
        <w:pStyle w:val="NormalWeb"/>
      </w:pPr>
      <w:r>
        <w:t>These observations suggest that pigment expression is constrained not solely by biosynthetic capacity but by the survival of absorbed energetic and elemental resources across the whole-plant pathway. Even when pigment synthesis enzymes remain functional, insufficient resource survival can prevent sustained pigment accumulation or stability. In this sense, plant color expression parallels biomass formation: both represent end products of a survival-limited energy and mass transfer process rather than direct reflections of theoretical biochemical efficiency.</w:t>
      </w:r>
    </w:p>
    <w:p w:rsidR="00172166" w:rsidRDefault="00172166" w:rsidP="00172166">
      <w:pPr>
        <w:pStyle w:val="NormalWeb"/>
      </w:pPr>
      <w:r>
        <w:lastRenderedPageBreak/>
        <w:t>In this study, we propose a unified framework in which plant color generation and stability are governed by the balance between absorbed resources and loss processes. Central to this framework is an energy survival factor,</w:t>
      </w:r>
    </w:p>
    <w:p w:rsidR="00172166" w:rsidRDefault="00172166" w:rsidP="00172166">
      <w:r>
        <w:rPr>
          <w:rStyle w:val="katex-mathml"/>
        </w:rPr>
        <w:t>Ψ=AE</w:t>
      </w:r>
      <w:r w:rsidR="00E34E0B">
        <w:rPr>
          <w:rStyle w:val="katex-mathml"/>
        </w:rPr>
        <w:t>/</w:t>
      </w:r>
      <w:proofErr w:type="spellStart"/>
      <w:r>
        <w:rPr>
          <w:rStyle w:val="katex-mathml"/>
        </w:rPr>
        <w:t>TE+ε</w:t>
      </w:r>
      <w:proofErr w:type="spellEnd"/>
    </w:p>
    <w:p w:rsidR="00172166" w:rsidRDefault="00172166" w:rsidP="00172166">
      <w:pPr>
        <w:pStyle w:val="NormalWeb"/>
      </w:pPr>
      <w:proofErr w:type="gramStart"/>
      <w:r>
        <w:t>where</w:t>
      </w:r>
      <w:proofErr w:type="gramEnd"/>
      <w:r>
        <w:t xml:space="preserve"> </w:t>
      </w:r>
      <w:r>
        <w:rPr>
          <w:rStyle w:val="mord"/>
        </w:rPr>
        <w:t>AE</w:t>
      </w:r>
      <w:r>
        <w:t xml:space="preserve"> represents absorbed and retained energetic and elemental inputs relevant to pigment formation, </w:t>
      </w:r>
      <w:r>
        <w:rPr>
          <w:rStyle w:val="mord"/>
        </w:rPr>
        <w:t>TE</w:t>
      </w:r>
      <w:r>
        <w:t xml:space="preserve"> denotes transpiration-linked, metabolic, and environmental dissipation losses, and </w:t>
      </w:r>
      <w:r>
        <w:rPr>
          <w:rStyle w:val="katex-mathml"/>
        </w:rPr>
        <w:t>ε</w:t>
      </w:r>
      <w:r>
        <w:t xml:space="preserve"> captures irreducible entropy-producing degradation required by non-equilibrium thermodynamics. By explicitly separating absorption from survival, this formulation provides a physically interpretable basis for understanding why pigment expression intensifies, saturates, or declines across environmental gradients.</w:t>
      </w:r>
    </w:p>
    <w:p w:rsidR="00172166" w:rsidRDefault="00172166" w:rsidP="00172166">
      <w:pPr>
        <w:pStyle w:val="NormalWeb"/>
      </w:pPr>
      <w:r>
        <w:t>By embedding pigment biochemistry within a whole-plant energy survival perspective, the framework bridges molecular-scale understanding with macroscopic color dynamics observed in crops and natural ecosystems. This approach advances plant color research beyond isolated biochemical explanations toward a systems-level interpretation that integrates absorption dynamics, transport, metabolism, and thermodynamic constraint, offering improved explanatory and predictive power for plant physiology, agriculture, and ecological monitoring.</w:t>
      </w:r>
    </w:p>
    <w:p w:rsidR="00172166" w:rsidRPr="006E2342" w:rsidRDefault="00172166" w:rsidP="00172166">
      <w:pPr>
        <w:pStyle w:val="Heading2"/>
        <w:rPr>
          <w:color w:val="auto"/>
        </w:rPr>
      </w:pPr>
      <w:r w:rsidRPr="006E2342">
        <w:rPr>
          <w:rStyle w:val="Strong"/>
          <w:b/>
          <w:bCs/>
          <w:color w:val="auto"/>
        </w:rPr>
        <w:t xml:space="preserve">2. Absorption Dynamics and Mass–Energy Coupling </w:t>
      </w:r>
    </w:p>
    <w:p w:rsidR="00172166" w:rsidRDefault="00172166" w:rsidP="00172166">
      <w:pPr>
        <w:pStyle w:val="NormalWeb"/>
      </w:pPr>
      <w:r>
        <w:t>The uptake of water, mineral nutrients, atmospheric gases, and radiant energy represents the primary interface through which external resources enter the plant system. From a physical perspective, these uptake processes obey conservation laws and can be described using classical mass-flow relations:</w:t>
      </w:r>
    </w:p>
    <w:p w:rsidR="00172166" w:rsidRDefault="00172166" w:rsidP="00172166">
      <w:proofErr w:type="spellStart"/>
      <w:r>
        <w:rPr>
          <w:rStyle w:val="katex-mathml"/>
        </w:rPr>
        <w:t>Δm</w:t>
      </w:r>
      <w:proofErr w:type="spellEnd"/>
      <w:r>
        <w:rPr>
          <w:rStyle w:val="katex-mathml"/>
        </w:rPr>
        <w:t>=ρ </w:t>
      </w:r>
      <w:proofErr w:type="spellStart"/>
      <w:r>
        <w:rPr>
          <w:rStyle w:val="katex-mathml"/>
        </w:rPr>
        <w:t>Aeff</w:t>
      </w:r>
      <w:proofErr w:type="spellEnd"/>
      <w:r>
        <w:rPr>
          <w:rStyle w:val="katex-mathml"/>
        </w:rPr>
        <w:t> v </w:t>
      </w:r>
      <w:proofErr w:type="spellStart"/>
      <w:proofErr w:type="gramStart"/>
      <w:r>
        <w:rPr>
          <w:rStyle w:val="katex-mathml"/>
        </w:rPr>
        <w:t>Δt</w:t>
      </w:r>
      <w:proofErr w:type="spellEnd"/>
      <w:proofErr w:type="gramEnd"/>
    </w:p>
    <w:p w:rsidR="00172166" w:rsidRDefault="00172166" w:rsidP="00172166">
      <w:pPr>
        <w:pStyle w:val="NormalWeb"/>
      </w:pPr>
      <w:proofErr w:type="gramStart"/>
      <w:r>
        <w:t>where</w:t>
      </w:r>
      <w:proofErr w:type="gramEnd"/>
      <w:r w:rsidR="00E34E0B">
        <w:t xml:space="preserve"> </w:t>
      </w:r>
      <w:proofErr w:type="spellStart"/>
      <w:r>
        <w:rPr>
          <w:rStyle w:val="mord"/>
        </w:rPr>
        <w:t>Δm</w:t>
      </w:r>
      <w:proofErr w:type="spellEnd"/>
      <w:r>
        <w:t xml:space="preserve"> is the absorbed mass over the time interval </w:t>
      </w:r>
      <w:proofErr w:type="spellStart"/>
      <w:r>
        <w:rPr>
          <w:rStyle w:val="mord"/>
        </w:rPr>
        <w:t>Δt</w:t>
      </w:r>
      <w:proofErr w:type="spellEnd"/>
      <w:r>
        <w:t xml:space="preserve">, </w:t>
      </w:r>
      <w:r>
        <w:rPr>
          <w:rStyle w:val="katex-mathml"/>
        </w:rPr>
        <w:t>ρ</w:t>
      </w:r>
      <w:r>
        <w:t xml:space="preserve"> is the density or concentration of the absorbed medium, </w:t>
      </w:r>
      <w:proofErr w:type="spellStart"/>
      <w:r>
        <w:rPr>
          <w:rStyle w:val="mord"/>
        </w:rPr>
        <w:t>Aeff</w:t>
      </w:r>
      <w:proofErr w:type="spellEnd"/>
      <w:r>
        <w:rPr>
          <w:rStyle w:val="vlist-s"/>
        </w:rPr>
        <w:t>​</w:t>
      </w:r>
      <w:r>
        <w:t xml:space="preserve"> is the effective absorption area, and </w:t>
      </w:r>
      <w:r>
        <w:rPr>
          <w:rStyle w:val="mord"/>
        </w:rPr>
        <w:t>v</w:t>
      </w:r>
      <w:r>
        <w:t xml:space="preserve"> is the mean uptake velocity normal to the absorbing surface. This formulation is widely used in fluid mechanics, soil physics, and gas exchange theory and provides a dimensionally consistent basis for linking physical transport to biological regulation.</w:t>
      </w:r>
    </w:p>
    <w:p w:rsidR="00172166" w:rsidRDefault="00172166" w:rsidP="00172166">
      <w:pPr>
        <w:pStyle w:val="NormalWeb"/>
      </w:pPr>
      <w:r>
        <w:t xml:space="preserve">In living plant systems, none of the terms in this relation are constant. Effective absorption area varies dynamically with leaf expansion, canopy architecture, root proliferation, and fine-root turnover, while uptake velocity reflects the integrated response of </w:t>
      </w:r>
      <w:proofErr w:type="spellStart"/>
      <w:r>
        <w:t>stomatal</w:t>
      </w:r>
      <w:proofErr w:type="spellEnd"/>
      <w:r>
        <w:t xml:space="preserve"> conductance, hydraulic conductivity, temperature-dependent viscosity, and metabolic demand. Empirical measurements indicate that </w:t>
      </w:r>
      <w:proofErr w:type="spellStart"/>
      <w:r>
        <w:t>stomatal</w:t>
      </w:r>
      <w:proofErr w:type="spellEnd"/>
      <w:r>
        <w:t xml:space="preserve"> conductance and root water uptake rates can vary by more than an order of magnitude over diurnal cycles and in response to moderate environmental stress, highlighting the inherently time-dependent nature of absorption:</w:t>
      </w:r>
    </w:p>
    <w:p w:rsidR="00172166" w:rsidRDefault="00172166" w:rsidP="00172166">
      <w:r>
        <w:rPr>
          <w:rStyle w:val="katex-mathml"/>
        </w:rPr>
        <w:t>v=</w:t>
      </w:r>
      <w:proofErr w:type="gramStart"/>
      <w:r>
        <w:rPr>
          <w:rStyle w:val="katex-mathml"/>
        </w:rPr>
        <w:t>v(</w:t>
      </w:r>
      <w:proofErr w:type="gramEnd"/>
      <w:r>
        <w:rPr>
          <w:rStyle w:val="katex-mathml"/>
        </w:rPr>
        <w:t>t)</w:t>
      </w:r>
    </w:p>
    <w:p w:rsidR="00172166" w:rsidRDefault="00172166" w:rsidP="00172166">
      <w:pPr>
        <w:pStyle w:val="NormalWeb"/>
      </w:pPr>
      <w:r>
        <w:lastRenderedPageBreak/>
        <w:t xml:space="preserve">This temporal variability is a defining feature of biological transport and directly couples mass flux to energy flux. Radiant energy absorbed by leaves must be accompanied by sufficient water and carbon dioxide uptake to sustain pigment synthesis and stability. When material flux is constrained, absorbed energy cannot be productively utilized and is instead dissipated through thermal emission, </w:t>
      </w:r>
      <w:proofErr w:type="spellStart"/>
      <w:r>
        <w:t>photoprotective</w:t>
      </w:r>
      <w:proofErr w:type="spellEnd"/>
      <w:r>
        <w:t xml:space="preserve"> quenching, or increased metabolic cost.</w:t>
      </w:r>
    </w:p>
    <w:p w:rsidR="00172166" w:rsidRDefault="00172166" w:rsidP="00172166">
      <w:pPr>
        <w:pStyle w:val="NormalWeb"/>
      </w:pPr>
      <w:r>
        <w:t xml:space="preserve">Pigment formation is therefore inseparable from absorption dynamics and whole-plant transport. Chlorophyll biosynthesis requires continuous supplies of nitrogen, magnesium, iron, and reducing power; </w:t>
      </w:r>
      <w:proofErr w:type="spellStart"/>
      <w:r>
        <w:t>carotenoid</w:t>
      </w:r>
      <w:proofErr w:type="spellEnd"/>
      <w:r>
        <w:t xml:space="preserve"> synthesis depends on carbon allocation through </w:t>
      </w:r>
      <w:proofErr w:type="spellStart"/>
      <w:r>
        <w:t>isoprenoid</w:t>
      </w:r>
      <w:proofErr w:type="spellEnd"/>
      <w:r>
        <w:t xml:space="preserve"> pathways and adequate energy availability; and </w:t>
      </w:r>
      <w:proofErr w:type="spellStart"/>
      <w:r>
        <w:t>anthocyanin</w:t>
      </w:r>
      <w:proofErr w:type="spellEnd"/>
      <w:r>
        <w:t xml:space="preserve"> production relies on carbon skeletons derived from primary metabolism and is often induced under conditions of altered energy balance. Numerous experimental studies demonstrate strong correlations between nutrient uptake rates, hydraulic status, and pigment concentration, with deficiencies in nitrogen or water commonly leading to </w:t>
      </w:r>
      <w:proofErr w:type="spellStart"/>
      <w:r>
        <w:t>chlorosis</w:t>
      </w:r>
      <w:proofErr w:type="spellEnd"/>
      <w:r>
        <w:t xml:space="preserve"> even under high irradiance.</w:t>
      </w:r>
    </w:p>
    <w:p w:rsidR="00172166" w:rsidRDefault="00172166" w:rsidP="00172166">
      <w:pPr>
        <w:pStyle w:val="NormalWeb"/>
      </w:pPr>
      <w:r>
        <w:t>The coupling between mass uptake and pigment expression is further reinforced by transpiration-driven transport. Transpiration facilitates nutrient delivery and thermal regulation but simultaneously increases resource loss and metabolic demand. Under high vapor pressure deficit or drought conditions, increased transpiration accelerates water loss, disrupts nutrient transport, and elevates respiratory costs, thereby reducing the net availability of resources for pigment maintenance. These processes introduce unavoidable dissipation that scales with uptake velocity and environmental gradients.</w:t>
      </w:r>
    </w:p>
    <w:p w:rsidR="00172166" w:rsidRDefault="00172166" w:rsidP="00172166">
      <w:pPr>
        <w:pStyle w:val="NormalWeb"/>
      </w:pPr>
      <w:r>
        <w:t>From an energetic standpoint, absorbed radiant energy and absorbed material resources compete against transport-related dissipation and entropy production. When uptake velocity fluctuates or becomes mismatched with metabolic capacity, the system incurs additional regulatory and maintenance costs, further reducing the fraction of absorbed resources that can be retained. This balance between retained absorption and loss processes defines the survival of energy and mass within the plant system.</w:t>
      </w:r>
    </w:p>
    <w:p w:rsidR="00172166" w:rsidRDefault="00172166" w:rsidP="00172166">
      <w:pPr>
        <w:pStyle w:val="NormalWeb"/>
      </w:pPr>
      <w:r>
        <w:t>Within the unified color-generation framework, these dynamics are formalized through the energy survival factor:</w:t>
      </w:r>
    </w:p>
    <w:p w:rsidR="00172166" w:rsidRDefault="00172166" w:rsidP="00172166">
      <w:r>
        <w:rPr>
          <w:rStyle w:val="katex-mathml"/>
        </w:rPr>
        <w:t>Ψ=AE</w:t>
      </w:r>
      <w:r w:rsidR="00E34E0B">
        <w:rPr>
          <w:rStyle w:val="katex-mathml"/>
        </w:rPr>
        <w:t>/</w:t>
      </w:r>
      <w:proofErr w:type="spellStart"/>
      <w:r>
        <w:rPr>
          <w:rStyle w:val="katex-mathml"/>
        </w:rPr>
        <w:t>TE+ε</w:t>
      </w:r>
      <w:proofErr w:type="spellEnd"/>
    </w:p>
    <w:p w:rsidR="00172166" w:rsidRDefault="00172166" w:rsidP="00172166">
      <w:pPr>
        <w:pStyle w:val="NormalWeb"/>
      </w:pPr>
      <w:proofErr w:type="gramStart"/>
      <w:r>
        <w:t>where</w:t>
      </w:r>
      <w:proofErr w:type="gramEnd"/>
      <w:r>
        <w:t xml:space="preserve"> </w:t>
      </w:r>
      <w:r>
        <w:rPr>
          <w:rStyle w:val="mord"/>
        </w:rPr>
        <w:t>AE</w:t>
      </w:r>
      <w:r>
        <w:t xml:space="preserve"> represents absorbed and retained energetic and elemental resources supporting pigment synthesis, </w:t>
      </w:r>
      <w:r>
        <w:rPr>
          <w:rStyle w:val="mord"/>
        </w:rPr>
        <w:t>TE</w:t>
      </w:r>
      <w:r>
        <w:t xml:space="preserve"> captures transport- and transpiration-linked dissipation losses, and </w:t>
      </w:r>
      <w:r>
        <w:rPr>
          <w:rStyle w:val="katex-mathml"/>
        </w:rPr>
        <w:t>ε</w:t>
      </w:r>
      <w:r>
        <w:t xml:space="preserve"> represents irreducible entropy production associated with metabolic turnover and regulation. Variations in uptake velocity </w:t>
      </w:r>
      <w:proofErr w:type="gramStart"/>
      <w:r>
        <w:rPr>
          <w:rStyle w:val="mord"/>
        </w:rPr>
        <w:t>v</w:t>
      </w:r>
      <w:r>
        <w:rPr>
          <w:rStyle w:val="mopen"/>
        </w:rPr>
        <w:t>(</w:t>
      </w:r>
      <w:proofErr w:type="gramEnd"/>
      <w:r>
        <w:rPr>
          <w:rStyle w:val="mord"/>
        </w:rPr>
        <w:t>t</w:t>
      </w:r>
      <w:r>
        <w:rPr>
          <w:rStyle w:val="mclose"/>
        </w:rPr>
        <w:t>)</w:t>
      </w:r>
      <w:r>
        <w:t xml:space="preserve">, driven by environmental or physiological constraints, directly modulate </w:t>
      </w:r>
      <w:r>
        <w:rPr>
          <w:rStyle w:val="mord"/>
        </w:rPr>
        <w:t>TE</w:t>
      </w:r>
      <w:r>
        <w:t xml:space="preserve"> and </w:t>
      </w:r>
      <w:r>
        <w:rPr>
          <w:rStyle w:val="mord"/>
        </w:rPr>
        <w:t>ε</w:t>
      </w:r>
      <w:r>
        <w:t>, thereby controlling pigment stability even when biosynthetic pathways remain intact.</w:t>
      </w:r>
    </w:p>
    <w:p w:rsidR="00172166" w:rsidRDefault="00172166" w:rsidP="00172166">
      <w:pPr>
        <w:pStyle w:val="NormalWeb"/>
      </w:pPr>
      <w:r>
        <w:t xml:space="preserve">By embedding classical absorption physics within a survival-based energetic framework, this formulation provides a physically transparent explanation for widely observed patterns of pigment saturation, stress-induced color fading, and recovery following restoration of water or </w:t>
      </w:r>
      <w:r>
        <w:lastRenderedPageBreak/>
        <w:t>nutrient supply. It establishes absorption dynamics not merely as boundary conditions but as active determinants of pigment expression and stability across plant systems.</w:t>
      </w:r>
    </w:p>
    <w:p w:rsidR="00172166" w:rsidRPr="00E34E0B" w:rsidRDefault="00172166" w:rsidP="00172166">
      <w:pPr>
        <w:pStyle w:val="Heading2"/>
        <w:rPr>
          <w:color w:val="000000" w:themeColor="text1"/>
        </w:rPr>
      </w:pPr>
      <w:r w:rsidRPr="00E34E0B">
        <w:rPr>
          <w:rStyle w:val="Strong"/>
          <w:b/>
          <w:bCs/>
          <w:color w:val="000000" w:themeColor="text1"/>
        </w:rPr>
        <w:t>3. Biochemical and Optical Basis of Plant Colo</w:t>
      </w:r>
      <w:r w:rsidR="00E34E0B" w:rsidRPr="00E34E0B">
        <w:rPr>
          <w:rStyle w:val="Strong"/>
          <w:b/>
          <w:bCs/>
          <w:color w:val="000000" w:themeColor="text1"/>
        </w:rPr>
        <w:t>r</w:t>
      </w:r>
    </w:p>
    <w:p w:rsidR="00172166" w:rsidRDefault="00172166" w:rsidP="00172166">
      <w:pPr>
        <w:pStyle w:val="NormalWeb"/>
      </w:pPr>
      <w:r>
        <w:t xml:space="preserve">Plant color intensity emerges from the combined optical absorption properties of pigment molecules embedded within heterogeneous biological tissues. At the leaf and canopy scale, perceived coloration reflects the wavelength-dependent attenuation of incident radiation by pigment ensembles distributed across multiple cellular and </w:t>
      </w:r>
      <w:proofErr w:type="spellStart"/>
      <w:r>
        <w:t>subcellular</w:t>
      </w:r>
      <w:proofErr w:type="spellEnd"/>
      <w:r>
        <w:t xml:space="preserve"> compartments. This process can be described using a generalized Beer–Lambert–type formulation adapted for scattering biological media:</w:t>
      </w:r>
    </w:p>
    <w:p w:rsidR="00172166" w:rsidRDefault="00172166" w:rsidP="00172166">
      <w:r>
        <w:rPr>
          <w:rStyle w:val="katex-mathml"/>
        </w:rPr>
        <w:t>C</w:t>
      </w:r>
      <w:r>
        <w:rPr>
          <w:rStyle w:val="katex-mathml"/>
          <w:rFonts w:ascii="Cambria Math" w:hAnsi="Cambria Math" w:cs="Cambria Math"/>
        </w:rPr>
        <w:t>∝</w:t>
      </w:r>
      <w:r w:rsidR="00E34E0B">
        <w:rPr>
          <w:rStyle w:val="katex-mathml"/>
        </w:rPr>
        <w:t>∑</w:t>
      </w:r>
      <w:proofErr w:type="spellStart"/>
      <w:r w:rsidR="00E34E0B">
        <w:rPr>
          <w:rStyle w:val="katex-mathml"/>
          <w:vertAlign w:val="subscript"/>
        </w:rPr>
        <w:t>i</w:t>
      </w:r>
      <w:proofErr w:type="spellEnd"/>
      <w:r w:rsidR="00E34E0B">
        <w:rPr>
          <w:rStyle w:val="katex-mathml"/>
        </w:rPr>
        <w:t xml:space="preserve"> </w:t>
      </w:r>
      <w:r>
        <w:rPr>
          <w:rStyle w:val="katex-mathml"/>
        </w:rPr>
        <w:t>(</w:t>
      </w:r>
      <w:proofErr w:type="spellStart"/>
      <w:r>
        <w:rPr>
          <w:rStyle w:val="katex-mathml"/>
        </w:rPr>
        <w:t>εi</w:t>
      </w:r>
      <w:proofErr w:type="spellEnd"/>
      <w:r>
        <w:rPr>
          <w:rStyle w:val="katex-mathml"/>
        </w:rPr>
        <w:t> [</w:t>
      </w:r>
      <w:proofErr w:type="spellStart"/>
      <w:r>
        <w:rPr>
          <w:rStyle w:val="katex-mathml"/>
        </w:rPr>
        <w:t>Pigmenti</w:t>
      </w:r>
      <w:proofErr w:type="spellEnd"/>
      <w:r>
        <w:rPr>
          <w:rStyle w:val="katex-mathml"/>
        </w:rPr>
        <w:t>]</w:t>
      </w:r>
      <w:proofErr w:type="gramStart"/>
      <w:r>
        <w:rPr>
          <w:rStyle w:val="katex-mathml"/>
        </w:rPr>
        <w:t>)L</w:t>
      </w:r>
      <w:proofErr w:type="gramEnd"/>
    </w:p>
    <w:p w:rsidR="00172166" w:rsidRDefault="00172166" w:rsidP="00172166">
      <w:pPr>
        <w:pStyle w:val="NormalWeb"/>
      </w:pPr>
      <w:proofErr w:type="gramStart"/>
      <w:r>
        <w:t>where</w:t>
      </w:r>
      <w:proofErr w:type="gramEnd"/>
      <w:r>
        <w:t xml:space="preserve"> </w:t>
      </w:r>
      <w:r>
        <w:rPr>
          <w:rStyle w:val="mord"/>
        </w:rPr>
        <w:t>C</w:t>
      </w:r>
      <w:r>
        <w:t xml:space="preserve"> is a dimensionless color intensity index, </w:t>
      </w:r>
      <w:proofErr w:type="spellStart"/>
      <w:r>
        <w:rPr>
          <w:rStyle w:val="mord"/>
        </w:rPr>
        <w:t>εi</w:t>
      </w:r>
      <w:proofErr w:type="spellEnd"/>
      <w:r>
        <w:rPr>
          <w:rStyle w:val="vlist-s"/>
        </w:rPr>
        <w:t>​</w:t>
      </w:r>
      <w:r>
        <w:t xml:space="preserve"> is the wavelength-integrated absorption coefficient of pigment class </w:t>
      </w:r>
      <w:r>
        <w:rPr>
          <w:rStyle w:val="katex-mathml"/>
        </w:rPr>
        <w:t>i</w:t>
      </w:r>
      <w:r>
        <w:rPr>
          <w:rStyle w:val="mord"/>
        </w:rPr>
        <w:t>i</w:t>
      </w:r>
      <w:r>
        <w:t xml:space="preserve">, </w:t>
      </w:r>
      <w:r>
        <w:rPr>
          <w:rStyle w:val="katex-mathml"/>
        </w:rPr>
        <w:t>[</w:t>
      </w:r>
      <w:proofErr w:type="spellStart"/>
      <w:r>
        <w:rPr>
          <w:rStyle w:val="katex-mathml"/>
        </w:rPr>
        <w:t>Pigmenti</w:t>
      </w:r>
      <w:proofErr w:type="spellEnd"/>
      <w:r>
        <w:rPr>
          <w:rStyle w:val="katex-mathml"/>
        </w:rPr>
        <w:t>]</w:t>
      </w:r>
      <w:r>
        <w:t xml:space="preserve"> is its effective concentration within optically active tissues, and </w:t>
      </w:r>
      <w:r>
        <w:rPr>
          <w:rStyle w:val="mord"/>
        </w:rPr>
        <w:t>L</w:t>
      </w:r>
      <w:r>
        <w:t xml:space="preserve"> is the effective optical path length accounting for internal scattering, cell geometry, and tissue thickness. This formulation is consistent with established </w:t>
      </w:r>
      <w:proofErr w:type="spellStart"/>
      <w:r>
        <w:t>radiative</w:t>
      </w:r>
      <w:proofErr w:type="spellEnd"/>
      <w:r>
        <w:t xml:space="preserve"> transfer models for plant leaves, which treat pigment absorption as multiplicative with path length in diffuse media rather than as a simple linear process.</w:t>
      </w:r>
    </w:p>
    <w:p w:rsidR="00172166" w:rsidRDefault="00172166" w:rsidP="00172166">
      <w:pPr>
        <w:pStyle w:val="NormalWeb"/>
      </w:pPr>
      <w:r>
        <w:t xml:space="preserve">The major contributors to plant color include chlorophylls, which dominate absorption in the blue and red regions and confer green appearance through selective reflection; </w:t>
      </w:r>
      <w:proofErr w:type="spellStart"/>
      <w:r>
        <w:t>carotenoids</w:t>
      </w:r>
      <w:proofErr w:type="spellEnd"/>
      <w:r>
        <w:t xml:space="preserve">, which absorb in the blue–green region and contribute to yellow and orange hues; and </w:t>
      </w:r>
      <w:proofErr w:type="spellStart"/>
      <w:r>
        <w:t>anthocyanins</w:t>
      </w:r>
      <w:proofErr w:type="spellEnd"/>
      <w:r>
        <w:t xml:space="preserve">, which absorb in the green–yellow region and impart red to purple coloration. The absorption coefficients of these pigments are well characterized </w:t>
      </w:r>
      <w:proofErr w:type="spellStart"/>
      <w:r>
        <w:t>spectroscopically</w:t>
      </w:r>
      <w:proofErr w:type="spellEnd"/>
      <w:r>
        <w:t xml:space="preserve"> and vary predictably with molecular structure and environmental conditions.</w:t>
      </w:r>
    </w:p>
    <w:p w:rsidR="00172166" w:rsidRDefault="00172166" w:rsidP="00172166">
      <w:pPr>
        <w:pStyle w:val="NormalWeb"/>
      </w:pPr>
      <w:r>
        <w:t xml:space="preserve">Empirical measurements using leaf-level spectroscopy and reflectance-based indices demonstrate strong and reproducible correlations between pigment concentration and optical signals. For example, chlorophyll concentration is closely associated with SPAD meter readings and normalized difference vegetation indices (NDVI), while </w:t>
      </w:r>
      <w:proofErr w:type="spellStart"/>
      <w:r>
        <w:t>carotenoid</w:t>
      </w:r>
      <w:proofErr w:type="spellEnd"/>
      <w:r>
        <w:t>-to-chlorophyll ratios influence photochemical reflectance indices. Across species and growth conditions, changes in pigment concentration typically explain a substantial fraction of observed variation in leaf reflectance and color intensity.</w:t>
      </w:r>
    </w:p>
    <w:p w:rsidR="00172166" w:rsidRDefault="00172166" w:rsidP="00172166">
      <w:pPr>
        <w:pStyle w:val="NormalWeb"/>
      </w:pPr>
      <w:r>
        <w:t xml:space="preserve">However, pigment concentration itself is not determined solely by biosynthetic capacity. Instead, it reflects a dynamic balance between synthesis, stabilization, and loss processes. Pigment molecules are continuously turned over through </w:t>
      </w:r>
      <w:proofErr w:type="spellStart"/>
      <w:r>
        <w:t>photodegradation</w:t>
      </w:r>
      <w:proofErr w:type="spellEnd"/>
      <w:r>
        <w:t>, oxidative damage, dilution by growth, and metabolic recycling. Under favorable conditions, synthesis and stabilization dominate, leading to increased pigment concentration and stable coloration. Under stress or resource limitation, degradation and loss processes can exceed synthesis even when biosynthetic pathways remain operational.</w:t>
      </w:r>
    </w:p>
    <w:p w:rsidR="00172166" w:rsidRDefault="00172166" w:rsidP="00172166">
      <w:pPr>
        <w:pStyle w:val="NormalWeb"/>
      </w:pPr>
      <w:r>
        <w:t xml:space="preserve">From a biochemical standpoint, pigment synthesis requires sustained availability of elemental resources and metabolic energy. Chlorophyll biosynthesis depends on nitrogen, magnesium, iron, </w:t>
      </w:r>
      <w:r>
        <w:lastRenderedPageBreak/>
        <w:t xml:space="preserve">and reducing power; </w:t>
      </w:r>
      <w:proofErr w:type="spellStart"/>
      <w:r>
        <w:t>carotenoid</w:t>
      </w:r>
      <w:proofErr w:type="spellEnd"/>
      <w:r>
        <w:t xml:space="preserve"> synthesis draws on carbon flux through </w:t>
      </w:r>
      <w:proofErr w:type="spellStart"/>
      <w:r>
        <w:t>isoprenoid</w:t>
      </w:r>
      <w:proofErr w:type="spellEnd"/>
      <w:r>
        <w:t xml:space="preserve"> pathways; and </w:t>
      </w:r>
      <w:proofErr w:type="spellStart"/>
      <w:r>
        <w:t>anthocyanin</w:t>
      </w:r>
      <w:proofErr w:type="spellEnd"/>
      <w:r>
        <w:t xml:space="preserve"> accumulation requires carbon skeletons and enzymatic activity in secondary metabolism. These requirements link pigment concentration directly to whole-plant energy and resource status rather than to isolated gene expression or enzyme activity.</w:t>
      </w:r>
    </w:p>
    <w:p w:rsidR="00172166" w:rsidRDefault="00172166" w:rsidP="00172166">
      <w:pPr>
        <w:pStyle w:val="NormalWeb"/>
      </w:pPr>
      <w:r>
        <w:t xml:space="preserve">Optical path length </w:t>
      </w:r>
      <w:r>
        <w:rPr>
          <w:rStyle w:val="mord"/>
        </w:rPr>
        <w:t>L</w:t>
      </w:r>
      <w:r>
        <w:t xml:space="preserve"> further modulates color intensity by integrating structural and anatomical features such as leaf thickness, </w:t>
      </w:r>
      <w:proofErr w:type="spellStart"/>
      <w:r>
        <w:t>mesophyll</w:t>
      </w:r>
      <w:proofErr w:type="spellEnd"/>
      <w:r>
        <w:t xml:space="preserve"> organization, and internal scattering. Structural adjustments that increase </w:t>
      </w:r>
      <w:r>
        <w:rPr>
          <w:rStyle w:val="mord"/>
        </w:rPr>
        <w:t>L</w:t>
      </w:r>
      <w:r>
        <w:t xml:space="preserve"> can enhance color intensity without altering pigment concentration, while reductions in tissue integrity or cellular organization can diminish effective path length and apparent coloration. Such structural effects are themselves influenced by growth conditions and energy availability, reinforcing the coupling between optical and energetic processes.</w:t>
      </w:r>
    </w:p>
    <w:p w:rsidR="00172166" w:rsidRDefault="00172166" w:rsidP="00172166">
      <w:pPr>
        <w:pStyle w:val="NormalWeb"/>
      </w:pPr>
      <w:r>
        <w:t>Within the unified survival-based framework, pigment concentration and optical expression are constrained by the survival of absorbed energy and resources. Absorbed radiation and elemental inputs must persist through transport, metabolic turnover, and transpiration-linked loss to support pigment accumulation and stabilization. This constraint is formally captured by the energy survival factor:</w:t>
      </w:r>
    </w:p>
    <w:p w:rsidR="00172166" w:rsidRDefault="00172166" w:rsidP="00172166">
      <w:r>
        <w:rPr>
          <w:rStyle w:val="katex-mathml"/>
        </w:rPr>
        <w:t>Ψ=AE</w:t>
      </w:r>
      <w:r w:rsidR="00E34E0B">
        <w:rPr>
          <w:rStyle w:val="katex-mathml"/>
        </w:rPr>
        <w:t>/</w:t>
      </w:r>
      <w:proofErr w:type="spellStart"/>
      <w:r>
        <w:rPr>
          <w:rStyle w:val="katex-mathml"/>
        </w:rPr>
        <w:t>TE+ε</w:t>
      </w:r>
      <w:proofErr w:type="spellEnd"/>
      <w:r>
        <w:rPr>
          <w:rStyle w:val="katex-mathml"/>
        </w:rPr>
        <w:t>,</w:t>
      </w:r>
    </w:p>
    <w:p w:rsidR="00172166" w:rsidRDefault="00172166" w:rsidP="00172166">
      <w:pPr>
        <w:pStyle w:val="NormalWeb"/>
      </w:pPr>
      <w:proofErr w:type="gramStart"/>
      <w:r>
        <w:t>where</w:t>
      </w:r>
      <w:proofErr w:type="gramEnd"/>
      <w:r>
        <w:t xml:space="preserve"> </w:t>
      </w:r>
      <w:r>
        <w:rPr>
          <w:rStyle w:val="mord"/>
        </w:rPr>
        <w:t>AE</w:t>
      </w:r>
      <w:r>
        <w:t xml:space="preserve"> represents absorbed and retained resources contributing to pigment synthesis, </w:t>
      </w:r>
      <w:r>
        <w:rPr>
          <w:rStyle w:val="mord"/>
        </w:rPr>
        <w:t>TE</w:t>
      </w:r>
      <w:r>
        <w:t xml:space="preserve"> encompasses transport, transpiration, and metabolic dissipation, and </w:t>
      </w:r>
      <w:r>
        <w:rPr>
          <w:rStyle w:val="mord"/>
        </w:rPr>
        <w:t>ε</w:t>
      </w:r>
      <w:r>
        <w:t xml:space="preserve"> represents irreducible entropy-producing degradation. Variations in </w:t>
      </w:r>
      <w:r>
        <w:rPr>
          <w:rStyle w:val="mord"/>
        </w:rPr>
        <w:t>Ψ</w:t>
      </w:r>
      <w:r>
        <w:t xml:space="preserve"> therefore directly modulate effective pigment concentration and, by extension, optical color intensity.</w:t>
      </w:r>
    </w:p>
    <w:p w:rsidR="00172166" w:rsidRDefault="00172166" w:rsidP="00172166">
      <w:pPr>
        <w:pStyle w:val="NormalWeb"/>
      </w:pPr>
      <w:r>
        <w:t xml:space="preserve">This formulation explains why increased light availability or enhanced biosynthetic potential does not necessarily intensify coloration: without sufficient survival of absorbed resources, pigment turnover and degradation offset synthesis. Conversely, conditions that stabilize transport and reduce loss processes increase </w:t>
      </w:r>
      <w:r>
        <w:rPr>
          <w:rStyle w:val="katex-mathml"/>
        </w:rPr>
        <w:t>Ψ</w:t>
      </w:r>
      <w:r>
        <w:rPr>
          <w:rStyle w:val="mord"/>
        </w:rPr>
        <w:t>Ψ</w:t>
      </w:r>
      <w:r>
        <w:t>, enabling sustained pigment accumulation and stable color expression.</w:t>
      </w:r>
    </w:p>
    <w:p w:rsidR="00172166" w:rsidRDefault="00172166" w:rsidP="00172166">
      <w:pPr>
        <w:pStyle w:val="NormalWeb"/>
      </w:pPr>
      <w:r>
        <w:t>By integrating biochemical pigment pathways with optical absorption theory and survival-based energy constraints, this framework provides a physically interpretable and experimentally testable foundation for understanding plant color dynamics across scales. It reconciles molecular biochemistry with macroscopic optical behavior and clarifies the mechanistic basis for observed correlations between pigment concentration, reflectance indices, and environmental stress.</w:t>
      </w:r>
    </w:p>
    <w:p w:rsidR="00172166" w:rsidRPr="00E34E0B" w:rsidRDefault="00172166" w:rsidP="00172166">
      <w:pPr>
        <w:pStyle w:val="Heading2"/>
        <w:rPr>
          <w:color w:val="000000" w:themeColor="text1"/>
        </w:rPr>
      </w:pPr>
      <w:r w:rsidRPr="00E34E0B">
        <w:rPr>
          <w:rStyle w:val="Strong"/>
          <w:b/>
          <w:bCs/>
          <w:color w:val="000000" w:themeColor="text1"/>
        </w:rPr>
        <w:t>4. Transpiration, Loss Processes, and Pigment Stability</w:t>
      </w:r>
    </w:p>
    <w:p w:rsidR="00172166" w:rsidRDefault="00172166" w:rsidP="00172166">
      <w:pPr>
        <w:pStyle w:val="NormalWeb"/>
      </w:pPr>
      <w:r>
        <w:t xml:space="preserve">Transpiration and respiration are fundamental processes required to sustain plant function in a fluctuating environment. Transpiration enables the transport of water and mineral nutrients from roots to leaves, supports evaporative cooling, and maintains </w:t>
      </w:r>
      <w:proofErr w:type="spellStart"/>
      <w:r>
        <w:t>turgor</w:t>
      </w:r>
      <w:proofErr w:type="spellEnd"/>
      <w:r>
        <w:t xml:space="preserve"> pressure necessary for cellular integrity. Respiration provides the metabolic energy required for biosynthesis, ion transport, and maintenance of cellular organization. However, both processes impose unavoidable energetic and material costs that directly influence pigment stability and color expression.</w:t>
      </w:r>
    </w:p>
    <w:p w:rsidR="00172166" w:rsidRDefault="00172166" w:rsidP="00172166">
      <w:pPr>
        <w:pStyle w:val="NormalWeb"/>
      </w:pPr>
      <w:r>
        <w:lastRenderedPageBreak/>
        <w:t xml:space="preserve">From a mass–energy perspective, transpiration constitutes a dominant pathway of resource loss. Water flux through the transpiration stream dilutes intracellular solute concentrations, increases the turnover of metabolites, and elevates the demand for nutrient uptake to maintain pigment synthesis. Under conditions of high vapor pressure deficit, elevated temperature, or limited soil moisture, transpiration rates can increase substantially, often exceeding the capacity of roots to replenish lost water and nutrients. Empirical measurements indicate that transpiration-related water loss may increase several-fold under moderate atmospheric stress, even when </w:t>
      </w:r>
      <w:proofErr w:type="spellStart"/>
      <w:r>
        <w:t>photosynthetically</w:t>
      </w:r>
      <w:proofErr w:type="spellEnd"/>
      <w:r>
        <w:t xml:space="preserve"> active radiation remains high.</w:t>
      </w:r>
    </w:p>
    <w:p w:rsidR="00172166" w:rsidRDefault="00172166" w:rsidP="00172166">
      <w:pPr>
        <w:pStyle w:val="NormalWeb"/>
      </w:pPr>
      <w:r>
        <w:t xml:space="preserve">These conditions promote pigment instability through multiple mechanisms. Elevated transpiration intensifies oxidative stress by disrupting cellular </w:t>
      </w:r>
      <w:proofErr w:type="spellStart"/>
      <w:r>
        <w:t>redox</w:t>
      </w:r>
      <w:proofErr w:type="spellEnd"/>
      <w:r>
        <w:t xml:space="preserve"> balance and increasing the production of reactive oxygen species. Chlorophyll molecules are particularly susceptible to oxidative degradation, leading to </w:t>
      </w:r>
      <w:proofErr w:type="spellStart"/>
      <w:r>
        <w:t>chlorosis</w:t>
      </w:r>
      <w:proofErr w:type="spellEnd"/>
      <w:r>
        <w:t xml:space="preserve"> and reduced greenness. </w:t>
      </w:r>
      <w:proofErr w:type="spellStart"/>
      <w:r>
        <w:t>Carotenoids</w:t>
      </w:r>
      <w:proofErr w:type="spellEnd"/>
      <w:r>
        <w:t xml:space="preserve"> and </w:t>
      </w:r>
      <w:proofErr w:type="spellStart"/>
      <w:r>
        <w:t>anthocyanins</w:t>
      </w:r>
      <w:proofErr w:type="spellEnd"/>
      <w:r>
        <w:t>, while more resistant, are also subject to degradation or redistribution under sustained stress. As a result, pigment loss can exceed synthesis despite the continued presence of functional biosynthetic pathways.</w:t>
      </w:r>
    </w:p>
    <w:p w:rsidR="00172166" w:rsidRDefault="00172166" w:rsidP="00172166">
      <w:pPr>
        <w:pStyle w:val="NormalWeb"/>
      </w:pPr>
      <w:r>
        <w:t>Respiration further constrains pigment stability by consuming a substantial fraction of assimilated carbon and energy. Across plant species and functional types, respiratory processes typically account for approximately 30–60% of gross assimilated carbon, depending on tissue composition, developmental stage, and environmental conditions. Under stress, maintenance respiration often increases as plants expend additional energy to sustain ion gradients, repair damaged proteins, and regulate metabolic homeostasis. This increased respiratory demand reduces the pool of carbon skeletons and reducing power available for pigment maintenance and renewal.</w:t>
      </w:r>
    </w:p>
    <w:p w:rsidR="00172166" w:rsidRDefault="00172166" w:rsidP="00172166">
      <w:pPr>
        <w:pStyle w:val="NormalWeb"/>
      </w:pPr>
      <w:r>
        <w:t>Numerous empirical studies demonstrate consistent associations between environmental stress and pigment decline. Drought stress, high vapor pressure deficit, nutrient limitation (particularly nitrogen and magnesium), and temperature extremes are all correlated with reduced chlorophyll concentration, decreased SPAD readings, and visible color fading—even under high irradiance. These observations indicate that pigment expression is constrained primarily by loss processes rather than by limitations in light availability or intrinsic biosynthetic capacity.</w:t>
      </w:r>
    </w:p>
    <w:p w:rsidR="00172166" w:rsidRDefault="00172166" w:rsidP="00172166">
      <w:pPr>
        <w:pStyle w:val="NormalWeb"/>
      </w:pPr>
      <w:r>
        <w:t>Importantly, these loss processes are not pathological anomalies but necessary consequences of maintaining a living system far from thermodynamic equilibrium. Transpiration-driven transport and respiration inevitably generate entropy and dissipate usable energy. As these losses increase, the fraction of absorbed resources that can be retained for pigment stabilization decreases. This balance between absorption and loss governs the persistence of pigmentation over time.</w:t>
      </w:r>
    </w:p>
    <w:p w:rsidR="00172166" w:rsidRDefault="00172166" w:rsidP="00172166">
      <w:pPr>
        <w:pStyle w:val="NormalWeb"/>
      </w:pPr>
      <w:r>
        <w:t>Within the unified survival-based framework, these dynamics are formally captured by the energy survival factor:</w:t>
      </w:r>
    </w:p>
    <w:p w:rsidR="00172166" w:rsidRDefault="00172166" w:rsidP="00172166">
      <w:r>
        <w:rPr>
          <w:rStyle w:val="katex-mathml"/>
        </w:rPr>
        <w:t>Ψ=AE</w:t>
      </w:r>
      <w:r w:rsidR="00E34E0B">
        <w:rPr>
          <w:rStyle w:val="katex-mathml"/>
        </w:rPr>
        <w:t>/</w:t>
      </w:r>
      <w:proofErr w:type="spellStart"/>
      <w:r>
        <w:rPr>
          <w:rStyle w:val="katex-mathml"/>
        </w:rPr>
        <w:t>TE+ε</w:t>
      </w:r>
      <w:proofErr w:type="spellEnd"/>
    </w:p>
    <w:p w:rsidR="00172166" w:rsidRDefault="00172166" w:rsidP="00172166">
      <w:pPr>
        <w:pStyle w:val="NormalWeb"/>
      </w:pPr>
      <w:proofErr w:type="gramStart"/>
      <w:r>
        <w:t>where</w:t>
      </w:r>
      <w:proofErr w:type="gramEnd"/>
      <w:r>
        <w:t xml:space="preserve"> </w:t>
      </w:r>
      <w:r>
        <w:rPr>
          <w:rStyle w:val="katex-mathml"/>
        </w:rPr>
        <w:t>AE</w:t>
      </w:r>
      <w:r>
        <w:rPr>
          <w:rStyle w:val="mord"/>
        </w:rPr>
        <w:t>AE</w:t>
      </w:r>
      <w:r>
        <w:t xml:space="preserve"> represents absorbed and retained energetic and elemental inputs relevant to pigment synthesis and maintenance, </w:t>
      </w:r>
      <w:r>
        <w:rPr>
          <w:rStyle w:val="mord"/>
        </w:rPr>
        <w:t>TE</w:t>
      </w:r>
      <w:r>
        <w:t xml:space="preserve"> encompasses transpiration-linked and metabolic </w:t>
      </w:r>
      <w:r>
        <w:lastRenderedPageBreak/>
        <w:t xml:space="preserve">dissipation losses, and </w:t>
      </w:r>
      <w:r>
        <w:rPr>
          <w:rStyle w:val="katex-mathml"/>
        </w:rPr>
        <w:t>ε</w:t>
      </w:r>
      <w:r>
        <w:t xml:space="preserve"> represents irreducible entropy-producing degradation associated with non-equilibrium biological processes. Increases in transpiration rate, respiratory demand, or stress-induced regulation elevate </w:t>
      </w:r>
      <w:r>
        <w:rPr>
          <w:rStyle w:val="mord"/>
        </w:rPr>
        <w:t>TE</w:t>
      </w:r>
      <w:r>
        <w:t xml:space="preserve"> and </w:t>
      </w:r>
      <w:r>
        <w:rPr>
          <w:rStyle w:val="mord"/>
        </w:rPr>
        <w:t>ε</w:t>
      </w:r>
      <w:r>
        <w:t xml:space="preserve">, thereby reducing </w:t>
      </w:r>
      <w:r>
        <w:rPr>
          <w:rStyle w:val="katex-mathml"/>
        </w:rPr>
        <w:t>Ψ</w:t>
      </w:r>
      <w:r>
        <w:rPr>
          <w:rStyle w:val="mord"/>
        </w:rPr>
        <w:t>Ψ</w:t>
      </w:r>
      <w:r>
        <w:t xml:space="preserve"> even when absorption remains high.</w:t>
      </w:r>
    </w:p>
    <w:p w:rsidR="00172166" w:rsidRDefault="00172166" w:rsidP="00172166">
      <w:pPr>
        <w:pStyle w:val="NormalWeb"/>
      </w:pPr>
      <w:r>
        <w:t xml:space="preserve">This formulation explains why pigment loss and color fading frequently occur under stress despite adequate light and intact biosynthetic machinery. When loss processes dominate, absorbed resources fail to survive long enough to sustain pigment concentration, leading to dilution, degradation, and visible color change. Conversely, conditions that stabilize water balance, reduce respiratory overhead, and limit oxidative stress increase </w:t>
      </w:r>
      <w:r>
        <w:rPr>
          <w:rStyle w:val="katex-mathml"/>
        </w:rPr>
        <w:t>Ψ</w:t>
      </w:r>
      <w:r>
        <w:rPr>
          <w:rStyle w:val="mord"/>
        </w:rPr>
        <w:t>Ψ</w:t>
      </w:r>
      <w:r>
        <w:t>, promoting pigment retention and stable coloration.</w:t>
      </w:r>
    </w:p>
    <w:p w:rsidR="00172166" w:rsidRDefault="00172166" w:rsidP="00172166">
      <w:pPr>
        <w:pStyle w:val="NormalWeb"/>
      </w:pPr>
      <w:r>
        <w:t>By explicitly integrating transpiration and respiration into a survival-based energetic framework, this approach provides a physically transparent explanation for widely observed patterns of pigment instability across species and environments. It clarifies that plant color dynamics are governed not by isolated biochemical limitations but by the balance between absorption and thermodynamically unavoidable loss processes acting at the whole-plant level.</w:t>
      </w:r>
    </w:p>
    <w:p w:rsidR="00172166" w:rsidRPr="00E34E0B" w:rsidRDefault="00172166" w:rsidP="00172166">
      <w:pPr>
        <w:pStyle w:val="Heading2"/>
        <w:rPr>
          <w:color w:val="000000" w:themeColor="text1"/>
        </w:rPr>
      </w:pPr>
      <w:r w:rsidRPr="00E34E0B">
        <w:rPr>
          <w:rStyle w:val="Strong"/>
          <w:b/>
          <w:bCs/>
          <w:color w:val="000000" w:themeColor="text1"/>
        </w:rPr>
        <w:t xml:space="preserve">5. Energy Survival Factor (Ψ) Applied to Plant Color </w:t>
      </w:r>
    </w:p>
    <w:p w:rsidR="00172166" w:rsidRDefault="00172166" w:rsidP="00172166">
      <w:pPr>
        <w:pStyle w:val="NormalWeb"/>
      </w:pPr>
      <w:r>
        <w:t xml:space="preserve">Plant color expression is the outcome of sustained pigment accumulation and stabilization within </w:t>
      </w:r>
      <w:proofErr w:type="spellStart"/>
      <w:r>
        <w:t>photosynthetically</w:t>
      </w:r>
      <w:proofErr w:type="spellEnd"/>
      <w:r>
        <w:t xml:space="preserve"> active and non-photosynthetic tissues. Although pigment synthesis pathways are well defined, the persistence of pigmentation over time requires that absorbed energetic and elemental resources survive transport, metabolic turnover, and environmental dissipation. To formally capture this requirement, we introduce the </w:t>
      </w:r>
      <w:r>
        <w:rPr>
          <w:rStyle w:val="Strong"/>
        </w:rPr>
        <w:t>energy survival factor</w:t>
      </w:r>
      <w:r>
        <w:t>:</w:t>
      </w:r>
    </w:p>
    <w:p w:rsidR="00172166" w:rsidRDefault="00172166" w:rsidP="00172166">
      <w:r>
        <w:rPr>
          <w:rStyle w:val="katex-mathml"/>
        </w:rPr>
        <w:t>Ψ=AE</w:t>
      </w:r>
      <w:r w:rsidR="00E34E0B">
        <w:rPr>
          <w:rStyle w:val="katex-mathml"/>
        </w:rPr>
        <w:t>/</w:t>
      </w:r>
      <w:proofErr w:type="spellStart"/>
      <w:r>
        <w:rPr>
          <w:rStyle w:val="katex-mathml"/>
        </w:rPr>
        <w:t>TE+ε</w:t>
      </w:r>
      <w:proofErr w:type="spellEnd"/>
    </w:p>
    <w:p w:rsidR="00172166" w:rsidRDefault="00172166" w:rsidP="00172166">
      <w:pPr>
        <w:pStyle w:val="NormalWeb"/>
      </w:pPr>
      <w:proofErr w:type="gramStart"/>
      <w:r>
        <w:t>where</w:t>
      </w:r>
      <w:proofErr w:type="gramEnd"/>
      <w:r>
        <w:t xml:space="preserve"> </w:t>
      </w:r>
      <w:r>
        <w:rPr>
          <w:rStyle w:val="mord"/>
        </w:rPr>
        <w:t>AE</w:t>
      </w:r>
      <w:r>
        <w:t xml:space="preserve"> represents absorbed and retained energetic and elemental resources relevant to pigment formation, </w:t>
      </w:r>
      <w:r>
        <w:rPr>
          <w:rStyle w:val="mord"/>
        </w:rPr>
        <w:t>TE</w:t>
      </w:r>
      <w:r>
        <w:t xml:space="preserve"> denotes transpiration-linked, metabolic, and environmentally driven dissipation losses, and </w:t>
      </w:r>
      <w:r>
        <w:rPr>
          <w:rStyle w:val="mord"/>
        </w:rPr>
        <w:t>ε</w:t>
      </w:r>
      <w:r>
        <w:t xml:space="preserve"> captures irreducible entropy-producing degradation inherent to non-equilibrium biological systems.</w:t>
      </w:r>
    </w:p>
    <w:p w:rsidR="00172166" w:rsidRPr="00E34E0B" w:rsidRDefault="00172166" w:rsidP="00172166">
      <w:pPr>
        <w:pStyle w:val="Heading3"/>
        <w:rPr>
          <w:color w:val="000000" w:themeColor="text1"/>
        </w:rPr>
      </w:pPr>
      <w:r w:rsidRPr="00E34E0B">
        <w:rPr>
          <w:color w:val="000000" w:themeColor="text1"/>
        </w:rPr>
        <w:t>Physical Interpretation of Ψ in the Context of Pigmentation</w:t>
      </w:r>
    </w:p>
    <w:p w:rsidR="00172166" w:rsidRDefault="00172166" w:rsidP="00172166">
      <w:pPr>
        <w:pStyle w:val="NormalWeb"/>
      </w:pPr>
      <w:r>
        <w:t xml:space="preserve">In the context of plant color, </w:t>
      </w:r>
      <w:r>
        <w:rPr>
          <w:rStyle w:val="mord"/>
        </w:rPr>
        <w:t>AE</w:t>
      </w:r>
      <w:r>
        <w:t xml:space="preserve"> includes absorbed </w:t>
      </w:r>
      <w:proofErr w:type="spellStart"/>
      <w:r>
        <w:t>photosynthetically</w:t>
      </w:r>
      <w:proofErr w:type="spellEnd"/>
      <w:r>
        <w:t xml:space="preserve"> active radiation that contributes to metabolic energy supply, as well as the retained elemental inputs—such as nitrogen, magnesium, carbon skeletons, and reducing equivalents—required for pigment synthesis and maintenance. Importantly, </w:t>
      </w:r>
      <w:r>
        <w:rPr>
          <w:rStyle w:val="mord"/>
        </w:rPr>
        <w:t>AE</w:t>
      </w:r>
      <w:r>
        <w:t xml:space="preserve"> excludes energy and resources lost immediately through reflection, transmission, or volatilization, as these do not enter the biologically usable system boundary.</w:t>
      </w:r>
    </w:p>
    <w:p w:rsidR="00172166" w:rsidRDefault="00172166" w:rsidP="00172166">
      <w:pPr>
        <w:pStyle w:val="NormalWeb"/>
      </w:pPr>
      <w:r>
        <w:t xml:space="preserve">The term </w:t>
      </w:r>
      <w:r>
        <w:rPr>
          <w:rStyle w:val="mord"/>
        </w:rPr>
        <w:t>TE</w:t>
      </w:r>
      <w:r>
        <w:t xml:space="preserve"> aggregates losses associated with transport and environmental coupling. For pigmentation, these losses arise primarily from transpiration-driven dilution of intracellular solutes, increased metabolic turnover under fluctuating water status, oxidative stress associated with high evaporative demand, and respiratory expenditures required to sustain cellular </w:t>
      </w:r>
      <w:r>
        <w:lastRenderedPageBreak/>
        <w:t>homeostasis. Numerous empirical studies report that under moderate drought or high vapor pressure deficit, transpiration and associated metabolic costs increase substantially, even when incident radiation remains high.</w:t>
      </w:r>
    </w:p>
    <w:p w:rsidR="00172166" w:rsidRDefault="00172166" w:rsidP="00172166">
      <w:pPr>
        <w:pStyle w:val="NormalWeb"/>
      </w:pPr>
      <w:r>
        <w:t xml:space="preserve">The entropy term </w:t>
      </w:r>
      <w:r>
        <w:rPr>
          <w:rStyle w:val="mord"/>
        </w:rPr>
        <w:t>ε</w:t>
      </w:r>
      <w:r>
        <w:t xml:space="preserve"> represents the unavoidable degradation of usable energy and molecular order during pigment turnover, enzymatic reactions, and thermal dissipation. This component is strictly required by the second law of thermodynamics and cannot be eliminated through physiological optimization or genetic modification. Together, </w:t>
      </w:r>
      <w:r>
        <w:rPr>
          <w:rStyle w:val="mord"/>
        </w:rPr>
        <w:t>TE</w:t>
      </w:r>
      <w:r>
        <w:t xml:space="preserve"> and </w:t>
      </w:r>
      <w:r>
        <w:rPr>
          <w:rStyle w:val="katex-mathml"/>
        </w:rPr>
        <w:t>ε</w:t>
      </w:r>
      <w:r>
        <w:t xml:space="preserve"> define the total competitive loss against which absorbed resources must survive.</w:t>
      </w:r>
    </w:p>
    <w:p w:rsidR="00172166" w:rsidRDefault="00172166" w:rsidP="00172166">
      <w:pPr>
        <w:pStyle w:val="NormalWeb"/>
      </w:pPr>
      <w:r>
        <w:t xml:space="preserve">By construction, both </w:t>
      </w:r>
      <w:r>
        <w:rPr>
          <w:rStyle w:val="mord"/>
        </w:rPr>
        <w:t>TE</w:t>
      </w:r>
      <w:r>
        <w:t xml:space="preserve"> and </w:t>
      </w:r>
      <w:r>
        <w:rPr>
          <w:rStyle w:val="katex-mathml"/>
        </w:rPr>
        <w:t>ε</w:t>
      </w:r>
      <w:r>
        <w:t xml:space="preserve"> are non-negative, and therefore:</w:t>
      </w:r>
    </w:p>
    <w:p w:rsidR="00172166" w:rsidRDefault="00172166" w:rsidP="00172166">
      <w:proofErr w:type="gramStart"/>
      <w:r>
        <w:rPr>
          <w:rStyle w:val="katex-mathml"/>
        </w:rPr>
        <w:t>0&lt;Ψ&lt;1.</w:t>
      </w:r>
      <w:proofErr w:type="gramEnd"/>
    </w:p>
    <w:p w:rsidR="00172166" w:rsidRDefault="00172166" w:rsidP="00172166">
      <w:pPr>
        <w:pStyle w:val="NormalWeb"/>
      </w:pPr>
      <w:r>
        <w:t xml:space="preserve">This bound ensures full thermodynamic consistency and distinguishes </w:t>
      </w:r>
      <w:r>
        <w:rPr>
          <w:rStyle w:val="mord"/>
        </w:rPr>
        <w:t>Ψ</w:t>
      </w:r>
      <w:r>
        <w:t xml:space="preserve"> from classical efficiency metrics.</w:t>
      </w:r>
    </w:p>
    <w:p w:rsidR="00172166" w:rsidRPr="00E34E0B" w:rsidRDefault="00172166" w:rsidP="00172166">
      <w:pPr>
        <w:pStyle w:val="Heading3"/>
        <w:rPr>
          <w:color w:val="000000" w:themeColor="text1"/>
        </w:rPr>
      </w:pPr>
      <w:r w:rsidRPr="00E34E0B">
        <w:rPr>
          <w:color w:val="000000" w:themeColor="text1"/>
        </w:rPr>
        <w:t xml:space="preserve">Survival </w:t>
      </w:r>
      <w:proofErr w:type="gramStart"/>
      <w:r w:rsidRPr="00E34E0B">
        <w:rPr>
          <w:color w:val="000000" w:themeColor="text1"/>
        </w:rPr>
        <w:t>Versus</w:t>
      </w:r>
      <w:proofErr w:type="gramEnd"/>
      <w:r w:rsidRPr="00E34E0B">
        <w:rPr>
          <w:color w:val="000000" w:themeColor="text1"/>
        </w:rPr>
        <w:t xml:space="preserve"> Synthesis in Pigment Expression</w:t>
      </w:r>
    </w:p>
    <w:p w:rsidR="00172166" w:rsidRDefault="00172166" w:rsidP="00172166">
      <w:pPr>
        <w:pStyle w:val="NormalWeb"/>
      </w:pPr>
      <w:r>
        <w:t xml:space="preserve">Crucially, </w:t>
      </w:r>
      <w:r>
        <w:rPr>
          <w:rStyle w:val="mord"/>
        </w:rPr>
        <w:t>Ψ</w:t>
      </w:r>
      <w:r>
        <w:t xml:space="preserve"> does not describe how efficiently pigments are synthesized, but whether sufficient resources survive long enough to support pigment accumulation and stability. This distinction resolves a key conceptual gap in plant color research. Under many environmental conditions, pigment biosynthetic pathways remain intact and </w:t>
      </w:r>
      <w:proofErr w:type="spellStart"/>
      <w:r>
        <w:t>enzymatically</w:t>
      </w:r>
      <w:proofErr w:type="spellEnd"/>
      <w:r>
        <w:t xml:space="preserve"> competent, yet pigment concentration declines or saturates. Within the survival framework, such outcomes occur when </w:t>
      </w:r>
      <w:proofErr w:type="spellStart"/>
      <w:r>
        <w:rPr>
          <w:rStyle w:val="mord"/>
        </w:rPr>
        <w:t>TE</w:t>
      </w:r>
      <w:r>
        <w:rPr>
          <w:rStyle w:val="mbin"/>
        </w:rPr>
        <w:t>+</w:t>
      </w:r>
      <w:r>
        <w:rPr>
          <w:rStyle w:val="mord"/>
        </w:rPr>
        <w:t>ε</w:t>
      </w:r>
      <w:proofErr w:type="spellEnd"/>
      <w:r>
        <w:t xml:space="preserve"> approaches or exceeds </w:t>
      </w:r>
      <w:r>
        <w:rPr>
          <w:rStyle w:val="mord"/>
        </w:rPr>
        <w:t>AE</w:t>
      </w:r>
      <w:r>
        <w:t xml:space="preserve">, reducing </w:t>
      </w:r>
      <w:r>
        <w:rPr>
          <w:rStyle w:val="katex-mathml"/>
        </w:rPr>
        <w:t>Ψ</w:t>
      </w:r>
      <w:r>
        <w:t xml:space="preserve"> and favoring degradation and dilution over accumulation.</w:t>
      </w:r>
    </w:p>
    <w:p w:rsidR="00172166" w:rsidRDefault="00172166" w:rsidP="00172166">
      <w:pPr>
        <w:pStyle w:val="NormalWeb"/>
      </w:pPr>
      <w:r>
        <w:t xml:space="preserve">For example, under high irradiance combined with water stress, absorbed light energy remains high, but transpiration-linked losses and oxidative stress increase sharply. As a result, </w:t>
      </w:r>
      <w:r>
        <w:rPr>
          <w:rStyle w:val="mord"/>
        </w:rPr>
        <w:t>Ψ</w:t>
      </w:r>
      <w:r>
        <w:t xml:space="preserve"> decreases, limiting pigment stability despite abundant light and functional biosynthetic enzymes. Conversely, under well-hydrated, nutrient-sufficient conditions, reduced loss rates increase </w:t>
      </w:r>
      <w:r>
        <w:rPr>
          <w:rStyle w:val="mord"/>
        </w:rPr>
        <w:t>Ψ</w:t>
      </w:r>
      <w:r>
        <w:t>, allowing sustained pigment accumulation and stable coloration.</w:t>
      </w:r>
    </w:p>
    <w:p w:rsidR="00172166" w:rsidRPr="00E34E0B" w:rsidRDefault="00172166" w:rsidP="00172166">
      <w:pPr>
        <w:pStyle w:val="Heading3"/>
        <w:rPr>
          <w:color w:val="000000" w:themeColor="text1"/>
        </w:rPr>
      </w:pPr>
      <w:r w:rsidRPr="00E34E0B">
        <w:rPr>
          <w:color w:val="000000" w:themeColor="text1"/>
        </w:rPr>
        <w:t>Empirical Consistency and Observational Support</w:t>
      </w:r>
    </w:p>
    <w:p w:rsidR="00172166" w:rsidRDefault="00172166" w:rsidP="00172166">
      <w:pPr>
        <w:pStyle w:val="NormalWeb"/>
      </w:pPr>
      <w:r>
        <w:t>Independent empirical estimates support the survival-based interpretation of pigment dynamics. Typical values reported in the literature include:</w:t>
      </w:r>
    </w:p>
    <w:p w:rsidR="00172166" w:rsidRDefault="00172166" w:rsidP="00172166">
      <w:pPr>
        <w:pStyle w:val="NormalWeb"/>
      </w:pPr>
      <w:r>
        <w:t>• absorbed PAR fractions of approximately 45–70%</w:t>
      </w:r>
      <w:proofErr w:type="gramStart"/>
      <w:r>
        <w:t>,</w:t>
      </w:r>
      <w:proofErr w:type="gramEnd"/>
      <w:r>
        <w:br/>
        <w:t>• respiratory and metabolic losses consuming approximately 30–60% of assimilated resources,</w:t>
      </w:r>
      <w:r>
        <w:br/>
        <w:t>• stress-induced increases in transpiration and maintenance costs of two- to three-fold under high vapor pressure deficit or drought.</w:t>
      </w:r>
    </w:p>
    <w:p w:rsidR="00172166" w:rsidRDefault="00172166" w:rsidP="00172166">
      <w:pPr>
        <w:pStyle w:val="NormalWeb"/>
      </w:pPr>
      <w:r>
        <w:t xml:space="preserve">When these factors are combined, the resulting </w:t>
      </w:r>
      <w:r>
        <w:rPr>
          <w:rStyle w:val="katex-mathml"/>
        </w:rPr>
        <w:t>Ψ</w:t>
      </w:r>
      <w:r>
        <w:rPr>
          <w:rStyle w:val="mord"/>
        </w:rPr>
        <w:t>Ψ</w:t>
      </w:r>
      <w:r>
        <w:t xml:space="preserve"> values fall within ranges consistent with observed limits on sustained pigment concentration and color stability across species and </w:t>
      </w:r>
      <w:r>
        <w:lastRenderedPageBreak/>
        <w:t>environments. Importantly, these limits emerge without invoking pigment-specific inefficiencies or ad hoc regulatory constraints.</w:t>
      </w:r>
    </w:p>
    <w:p w:rsidR="00172166" w:rsidRPr="00E34E0B" w:rsidRDefault="00172166" w:rsidP="00172166">
      <w:pPr>
        <w:pStyle w:val="Heading3"/>
        <w:rPr>
          <w:color w:val="000000" w:themeColor="text1"/>
        </w:rPr>
      </w:pPr>
      <w:r w:rsidRPr="00E34E0B">
        <w:rPr>
          <w:color w:val="000000" w:themeColor="text1"/>
        </w:rPr>
        <w:t>Role of Ψ in the Unified Color Stability Framework</w:t>
      </w:r>
    </w:p>
    <w:p w:rsidR="00172166" w:rsidRDefault="00172166" w:rsidP="00172166">
      <w:pPr>
        <w:pStyle w:val="NormalWeb"/>
      </w:pPr>
      <w:r>
        <w:t xml:space="preserve">Within the unified plant color framework, </w:t>
      </w:r>
      <w:r>
        <w:rPr>
          <w:rStyle w:val="mord"/>
        </w:rPr>
        <w:t>Ψ</w:t>
      </w:r>
      <w:r>
        <w:t xml:space="preserve"> serves as the primary physical control on pigment persistence. Pigment concentration and optical intensity increase only when absorbed resources survive long enough to offset turnover and degradation. When </w:t>
      </w:r>
      <w:r>
        <w:rPr>
          <w:rStyle w:val="mord"/>
        </w:rPr>
        <w:t>Ψ</w:t>
      </w:r>
      <w:r>
        <w:t xml:space="preserve"> declines, pigment loss dominates, leading to visible color fading, </w:t>
      </w:r>
      <w:proofErr w:type="spellStart"/>
      <w:r>
        <w:t>chlorosis</w:t>
      </w:r>
      <w:proofErr w:type="spellEnd"/>
      <w:r>
        <w:t>, or shifts in pigment composition.</w:t>
      </w:r>
    </w:p>
    <w:p w:rsidR="00172166" w:rsidRDefault="00172166" w:rsidP="00172166">
      <w:pPr>
        <w:pStyle w:val="NormalWeb"/>
      </w:pPr>
      <w:r>
        <w:t>This formulation explains why interventions that stabilize water balance, reduce respiratory overhead, or mitigate oxidative stress often restore color intensity more effectively than strategies aimed solely at increasing pigment synthesis. It also clarifies why color indices respond sensitively to environmental stress even before gross reductions in photosynthesis are detected.</w:t>
      </w:r>
    </w:p>
    <w:p w:rsidR="00172166" w:rsidRDefault="00172166" w:rsidP="00172166">
      <w:pPr>
        <w:pStyle w:val="NormalWeb"/>
      </w:pPr>
      <w:r>
        <w:t xml:space="preserve">By explicitly embedding pigment dynamics within a survival-limited energetic framework, the energy survival factor </w:t>
      </w:r>
      <w:r>
        <w:rPr>
          <w:rStyle w:val="katex-mathml"/>
        </w:rPr>
        <w:t>Ψ</w:t>
      </w:r>
      <w:r>
        <w:rPr>
          <w:rStyle w:val="mord"/>
        </w:rPr>
        <w:t>Ψ</w:t>
      </w:r>
      <w:r>
        <w:t xml:space="preserve"> provides a physically grounded, experimentally accessible, and thermodynamically consistent basis for understanding plant color generation and stability.</w:t>
      </w:r>
    </w:p>
    <w:p w:rsidR="00172166" w:rsidRPr="006E2342" w:rsidRDefault="00172166" w:rsidP="00172166">
      <w:pPr>
        <w:pStyle w:val="Heading2"/>
        <w:rPr>
          <w:color w:val="auto"/>
        </w:rPr>
      </w:pPr>
      <w:r w:rsidRPr="006E2342">
        <w:rPr>
          <w:rStyle w:val="Strong"/>
          <w:b/>
          <w:bCs/>
          <w:color w:val="auto"/>
        </w:rPr>
        <w:t>6. Refined Plant Color Energy Rate Equation</w:t>
      </w:r>
    </w:p>
    <w:p w:rsidR="00172166" w:rsidRDefault="00172166" w:rsidP="00172166">
      <w:pPr>
        <w:pStyle w:val="NormalWeb"/>
      </w:pPr>
      <w:r>
        <w:t xml:space="preserve">Plant color expression is a dynamic outcome of continuous energy absorption, biochemical turnover, and loss processes operating across multiple spatial and temporal scales. To integrate these interacting components within a single physically interpretable formulation, we define a </w:t>
      </w:r>
      <w:r>
        <w:rPr>
          <w:rStyle w:val="Strong"/>
        </w:rPr>
        <w:t>rate-based color energy expression</w:t>
      </w:r>
      <w:r>
        <w:t xml:space="preserve"> that links radiant input, physiological limitation, pigment optics, and energy survival:</w:t>
      </w:r>
    </w:p>
    <w:p w:rsidR="00172166" w:rsidRDefault="00172166" w:rsidP="00172166">
      <w:proofErr w:type="gramStart"/>
      <w:r>
        <w:rPr>
          <w:rStyle w:val="katex-mathml"/>
        </w:rPr>
        <w:t>dEcolor</w:t>
      </w:r>
      <w:r w:rsidR="00010F43">
        <w:rPr>
          <w:rStyle w:val="katex-mathml"/>
        </w:rPr>
        <w:t>/</w:t>
      </w:r>
      <w:proofErr w:type="gramEnd"/>
      <w:r>
        <w:rPr>
          <w:rStyle w:val="katex-mathml"/>
        </w:rPr>
        <w:t>dt=kc IPAR </w:t>
      </w:r>
      <w:r w:rsidR="00010F43">
        <w:rPr>
          <w:rStyle w:val="katex-mathml"/>
        </w:rPr>
        <w:t>Aleaf  ×  fN fW fT  ×  Ψ  ×  ∑</w:t>
      </w:r>
      <w:proofErr w:type="spellStart"/>
      <w:r w:rsidR="00010F43">
        <w:rPr>
          <w:rStyle w:val="katex-mathml"/>
          <w:vertAlign w:val="subscript"/>
        </w:rPr>
        <w:t>i</w:t>
      </w:r>
      <w:proofErr w:type="spellEnd"/>
      <w:r w:rsidR="00010F43">
        <w:rPr>
          <w:rStyle w:val="katex-mathml"/>
        </w:rPr>
        <w:t xml:space="preserve"> </w:t>
      </w:r>
      <w:r>
        <w:rPr>
          <w:rStyle w:val="katex-mathml"/>
        </w:rPr>
        <w:t>(</w:t>
      </w:r>
      <w:proofErr w:type="spellStart"/>
      <w:r>
        <w:rPr>
          <w:rStyle w:val="katex-mathml"/>
        </w:rPr>
        <w:t>εi</w:t>
      </w:r>
      <w:proofErr w:type="spellEnd"/>
      <w:r>
        <w:rPr>
          <w:rStyle w:val="katex-mathml"/>
        </w:rPr>
        <w:t> [</w:t>
      </w:r>
      <w:proofErr w:type="spellStart"/>
      <w:r>
        <w:rPr>
          <w:rStyle w:val="katex-mathml"/>
        </w:rPr>
        <w:t>Pigmenti</w:t>
      </w:r>
      <w:proofErr w:type="spellEnd"/>
      <w:r>
        <w:rPr>
          <w:rStyle w:val="katex-mathml"/>
        </w:rPr>
        <w:t>])</w:t>
      </w:r>
    </w:p>
    <w:p w:rsidR="00172166" w:rsidRDefault="00172166" w:rsidP="00172166">
      <w:pPr>
        <w:pStyle w:val="NormalWeb"/>
      </w:pPr>
      <w:proofErr w:type="gramStart"/>
      <w:r>
        <w:t>where</w:t>
      </w:r>
      <w:proofErr w:type="gramEnd"/>
      <w:r>
        <w:t xml:space="preserve"> </w:t>
      </w:r>
      <w:proofErr w:type="spellStart"/>
      <w:r>
        <w:rPr>
          <w:rStyle w:val="katex-mathml"/>
        </w:rPr>
        <w:t>dEcolor</w:t>
      </w:r>
      <w:proofErr w:type="spellEnd"/>
      <w:r>
        <w:rPr>
          <w:rStyle w:val="katex-mathml"/>
        </w:rPr>
        <w:t>/</w:t>
      </w:r>
      <w:proofErr w:type="spellStart"/>
      <w:r>
        <w:rPr>
          <w:rStyle w:val="katex-mathml"/>
        </w:rPr>
        <w:t>dt</w:t>
      </w:r>
      <w:proofErr w:type="spellEnd"/>
      <w:r>
        <w:t xml:space="preserve"> represents the rate at which absorbed energy is expressed as optically detectable color intensity rather than stored chemical energy.</w:t>
      </w:r>
    </w:p>
    <w:p w:rsidR="00172166" w:rsidRPr="00010F43" w:rsidRDefault="00172166" w:rsidP="00172166">
      <w:pPr>
        <w:pStyle w:val="Heading3"/>
        <w:rPr>
          <w:color w:val="000000" w:themeColor="text1"/>
        </w:rPr>
      </w:pPr>
      <w:r w:rsidRPr="00010F43">
        <w:rPr>
          <w:color w:val="000000" w:themeColor="text1"/>
        </w:rPr>
        <w:t>Interpretation of Equation Components</w:t>
      </w:r>
    </w:p>
    <w:p w:rsidR="00172166" w:rsidRDefault="00172166" w:rsidP="00172166">
      <w:pPr>
        <w:pStyle w:val="NormalWeb"/>
      </w:pPr>
      <w:r>
        <w:t xml:space="preserve">The term </w:t>
      </w:r>
      <w:proofErr w:type="spellStart"/>
      <w:r>
        <w:rPr>
          <w:rStyle w:val="katex-mathml"/>
        </w:rPr>
        <w:t>IPARAleaf</w:t>
      </w:r>
      <w:proofErr w:type="spellEnd"/>
      <w:r>
        <w:t xml:space="preserve"> represents the instantaneous radiant energy incident on the </w:t>
      </w:r>
      <w:proofErr w:type="spellStart"/>
      <w:r>
        <w:t>photosynthetically</w:t>
      </w:r>
      <w:proofErr w:type="spellEnd"/>
      <w:r>
        <w:t xml:space="preserve"> active surface. This term sets the upper bound on available optical and energetic input but does not, by itself, determine color expression. Empirical canopy-scale measurements indicate that large increases in incident PAR often produce limited changes in pigment-based color indices, highlighting the necessity of additional constraining factors.</w:t>
      </w:r>
    </w:p>
    <w:p w:rsidR="00172166" w:rsidRDefault="00172166" w:rsidP="00172166">
      <w:pPr>
        <w:pStyle w:val="NormalWeb"/>
      </w:pPr>
      <w:r>
        <w:t xml:space="preserve">The coefficient </w:t>
      </w:r>
      <w:proofErr w:type="spellStart"/>
      <w:r>
        <w:rPr>
          <w:rStyle w:val="mord"/>
        </w:rPr>
        <w:t>kc</w:t>
      </w:r>
      <w:proofErr w:type="spellEnd"/>
      <w:proofErr w:type="gramStart"/>
      <w:r>
        <w:rPr>
          <w:rStyle w:val="vlist-s"/>
        </w:rPr>
        <w:t>​</w:t>
      </w:r>
      <w:r>
        <w:t xml:space="preserve"> is</w:t>
      </w:r>
      <w:proofErr w:type="gramEnd"/>
      <w:r>
        <w:t xml:space="preserve"> a proportionality constant that converts absorbed radiant energy into a pigment-relevant energetic scale. It accounts for geometric, spectral, and tissue-specific factors and is treated as invariant for a given species and developmental stage. Importantly, </w:t>
      </w:r>
      <w:proofErr w:type="spellStart"/>
      <w:r>
        <w:rPr>
          <w:rStyle w:val="mord"/>
        </w:rPr>
        <w:t>kc</w:t>
      </w:r>
      <w:proofErr w:type="spellEnd"/>
      <w:proofErr w:type="gramStart"/>
      <w:r>
        <w:rPr>
          <w:rStyle w:val="vlist-s"/>
        </w:rPr>
        <w:t>​</w:t>
      </w:r>
      <w:r>
        <w:t xml:space="preserve"> does</w:t>
      </w:r>
      <w:proofErr w:type="gramEnd"/>
      <w:r>
        <w:t xml:space="preserve"> not represent an efficiency parameter but serves to normalize the rate equation across scales.</w:t>
      </w:r>
    </w:p>
    <w:p w:rsidR="00172166" w:rsidRDefault="00172166" w:rsidP="00172166">
      <w:pPr>
        <w:pStyle w:val="NormalWeb"/>
      </w:pPr>
      <w:r>
        <w:lastRenderedPageBreak/>
        <w:t xml:space="preserve">The physiological modifiers </w:t>
      </w:r>
      <w:proofErr w:type="spellStart"/>
      <w:proofErr w:type="gramStart"/>
      <w:r>
        <w:rPr>
          <w:rStyle w:val="mord"/>
        </w:rPr>
        <w:t>fN</w:t>
      </w:r>
      <w:proofErr w:type="spellEnd"/>
      <w:r>
        <w:rPr>
          <w:rStyle w:val="vlist-s"/>
        </w:rPr>
        <w:t>​</w:t>
      </w:r>
      <w:r>
        <w:t>,</w:t>
      </w:r>
      <w:proofErr w:type="gramEnd"/>
      <w:r>
        <w:t xml:space="preserve"> </w:t>
      </w:r>
      <w:proofErr w:type="spellStart"/>
      <w:r>
        <w:rPr>
          <w:rStyle w:val="mord"/>
        </w:rPr>
        <w:t>fW</w:t>
      </w:r>
      <w:proofErr w:type="spellEnd"/>
      <w:r>
        <w:rPr>
          <w:rStyle w:val="vlist-s"/>
        </w:rPr>
        <w:t>​</w:t>
      </w:r>
      <w:r>
        <w:t xml:space="preserve">, and </w:t>
      </w:r>
      <w:proofErr w:type="spellStart"/>
      <w:r>
        <w:rPr>
          <w:rStyle w:val="mord"/>
        </w:rPr>
        <w:t>fT</w:t>
      </w:r>
      <w:proofErr w:type="spellEnd"/>
      <w:r>
        <w:rPr>
          <w:rStyle w:val="vlist-s"/>
        </w:rPr>
        <w:t>​</w:t>
      </w:r>
      <w:r>
        <w:t xml:space="preserve"> are dimensionless stress functions (bounded between 0 and 1) representing nutrient availability, water status, and temperature effects, respectively. These functions summarize well-established physiological responses: nitrogen limitation restricts chlorophyll synthesis; water stress alters </w:t>
      </w:r>
      <w:proofErr w:type="spellStart"/>
      <w:r>
        <w:t>stomatal</w:t>
      </w:r>
      <w:proofErr w:type="spellEnd"/>
      <w:r>
        <w:t xml:space="preserve"> conductance and transport; and temperature extremes increase metabolic costs and pigment degradation. Numerous empirical studies demonstrate that moderate reductions in any of these factors can substantially suppress pigment expression even under high irradiance.</w:t>
      </w:r>
    </w:p>
    <w:p w:rsidR="00172166" w:rsidRDefault="00172166" w:rsidP="00172166">
      <w:pPr>
        <w:pStyle w:val="NormalWeb"/>
      </w:pPr>
      <w:r>
        <w:t xml:space="preserve">The survival factor </w:t>
      </w:r>
      <w:r>
        <w:rPr>
          <w:rStyle w:val="katex-mathml"/>
        </w:rPr>
        <w:t>Ψ</w:t>
      </w:r>
      <w:r>
        <w:rPr>
          <w:rStyle w:val="mord"/>
        </w:rPr>
        <w:t>Ψ</w:t>
      </w:r>
      <w:r>
        <w:t xml:space="preserve"> introduces a critical constraint by quantifying the fraction of absorbed energetic and elemental resources that survive transpiration-linked dissipation, metabolic turnover, and irreversible entropy production:</w:t>
      </w:r>
    </w:p>
    <w:p w:rsidR="00172166" w:rsidRDefault="00172166" w:rsidP="00172166">
      <w:r>
        <w:rPr>
          <w:rStyle w:val="katex-mathml"/>
        </w:rPr>
        <w:t>Ψ=AE</w:t>
      </w:r>
      <w:r w:rsidR="00010F43">
        <w:rPr>
          <w:rStyle w:val="katex-mathml"/>
        </w:rPr>
        <w:t>/</w:t>
      </w:r>
      <w:proofErr w:type="spellStart"/>
      <w:r>
        <w:rPr>
          <w:rStyle w:val="katex-mathml"/>
        </w:rPr>
        <w:t>TE+ε</w:t>
      </w:r>
      <w:proofErr w:type="spellEnd"/>
    </w:p>
    <w:p w:rsidR="00172166" w:rsidRDefault="00172166" w:rsidP="00172166">
      <w:pPr>
        <w:pStyle w:val="NormalWeb"/>
      </w:pPr>
      <w:r>
        <w:t xml:space="preserve">In this context, </w:t>
      </w:r>
      <w:r>
        <w:rPr>
          <w:rStyle w:val="mord"/>
        </w:rPr>
        <w:t>Ψ</w:t>
      </w:r>
      <w:r>
        <w:t xml:space="preserve"> governs whether absorbed resources persist long enough to contribute to pigment accumulation and stabilization. As </w:t>
      </w:r>
      <w:r>
        <w:rPr>
          <w:rStyle w:val="mord"/>
        </w:rPr>
        <w:t>Ψ</w:t>
      </w:r>
      <w:r>
        <w:t xml:space="preserve"> decreases, pigment turnover and degradation increasingly dominate over synthesis, reducing the effective color energy rate regardless of incident radiation.</w:t>
      </w:r>
    </w:p>
    <w:p w:rsidR="00172166" w:rsidRDefault="00172166" w:rsidP="00172166">
      <w:pPr>
        <w:pStyle w:val="NormalWeb"/>
      </w:pPr>
      <w:r>
        <w:t xml:space="preserve">The summation term </w:t>
      </w:r>
      <w:r>
        <w:rPr>
          <w:rStyle w:val="katex-mathml"/>
        </w:rPr>
        <w:t>∑</w:t>
      </w:r>
      <w:proofErr w:type="spellStart"/>
      <w:proofErr w:type="gramStart"/>
      <w:r>
        <w:rPr>
          <w:rStyle w:val="katex-mathml"/>
        </w:rPr>
        <w:t>i</w:t>
      </w:r>
      <w:proofErr w:type="spellEnd"/>
      <w:r>
        <w:rPr>
          <w:rStyle w:val="katex-mathml"/>
        </w:rPr>
        <w:t>(</w:t>
      </w:r>
      <w:proofErr w:type="spellStart"/>
      <w:proofErr w:type="gramEnd"/>
      <w:r>
        <w:rPr>
          <w:rStyle w:val="katex-mathml"/>
        </w:rPr>
        <w:t>εi</w:t>
      </w:r>
      <w:proofErr w:type="spellEnd"/>
      <w:r>
        <w:rPr>
          <w:rStyle w:val="katex-mathml"/>
        </w:rPr>
        <w:t>[</w:t>
      </w:r>
      <w:proofErr w:type="spellStart"/>
      <w:r>
        <w:rPr>
          <w:rStyle w:val="katex-mathml"/>
        </w:rPr>
        <w:t>Pigmenti</w:t>
      </w:r>
      <w:proofErr w:type="spellEnd"/>
      <w:r>
        <w:rPr>
          <w:rStyle w:val="katex-mathml"/>
        </w:rPr>
        <w:t>])</w:t>
      </w:r>
      <w:r>
        <w:t xml:space="preserve"> captures the integrated optical absorption of all relevant pigment classes. Each pigment contributes according to its concentration and wavelength-specific absorption coefficient, consistent with </w:t>
      </w:r>
      <w:proofErr w:type="spellStart"/>
      <w:r>
        <w:t>radiative</w:t>
      </w:r>
      <w:proofErr w:type="spellEnd"/>
      <w:r>
        <w:t xml:space="preserve"> transfer theory for scattering biological tissues. Changes in pigment composition therefore modulate color expression even when total pigment mass remains constant.</w:t>
      </w:r>
    </w:p>
    <w:p w:rsidR="00172166" w:rsidRPr="00010F43" w:rsidRDefault="00172166" w:rsidP="00172166">
      <w:pPr>
        <w:pStyle w:val="Heading3"/>
        <w:rPr>
          <w:color w:val="000000" w:themeColor="text1"/>
        </w:rPr>
      </w:pPr>
      <w:r w:rsidRPr="00010F43">
        <w:rPr>
          <w:color w:val="000000" w:themeColor="text1"/>
        </w:rPr>
        <w:t>Rate-Based Nature and Empirical Consistency</w:t>
      </w:r>
    </w:p>
    <w:p w:rsidR="00172166" w:rsidRDefault="00172166" w:rsidP="00172166">
      <w:pPr>
        <w:pStyle w:val="NormalWeb"/>
      </w:pPr>
      <w:r>
        <w:t xml:space="preserve">This formulation intentionally describes </w:t>
      </w:r>
      <w:r>
        <w:rPr>
          <w:rStyle w:val="Strong"/>
        </w:rPr>
        <w:t>rates of color expression</w:t>
      </w:r>
      <w:r>
        <w:t xml:space="preserve"> rather than absolute perceptual color metrics. Color perception depends on observer, illumination spectrum, and spatial scale, whereas </w:t>
      </w:r>
      <w:proofErr w:type="spellStart"/>
      <w:r>
        <w:rPr>
          <w:rStyle w:val="katex-mathml"/>
        </w:rPr>
        <w:t>dEcolor</w:t>
      </w:r>
      <w:proofErr w:type="spellEnd"/>
      <w:r>
        <w:rPr>
          <w:rStyle w:val="katex-mathml"/>
        </w:rPr>
        <w:t>/</w:t>
      </w:r>
      <w:proofErr w:type="spellStart"/>
      <w:proofErr w:type="gramStart"/>
      <w:r>
        <w:rPr>
          <w:rStyle w:val="katex-mathml"/>
        </w:rPr>
        <w:t>dt</w:t>
      </w:r>
      <w:proofErr w:type="spellEnd"/>
      <w:proofErr w:type="gramEnd"/>
      <w:r>
        <w:t xml:space="preserve"> provides a normalized physical index suitable for physiological comparison, temporal analysis, and remote sensing interpretation.</w:t>
      </w:r>
    </w:p>
    <w:p w:rsidR="00172166" w:rsidRDefault="00172166" w:rsidP="00172166">
      <w:pPr>
        <w:pStyle w:val="NormalWeb"/>
      </w:pPr>
      <w:r>
        <w:t xml:space="preserve">Empirical data support the structure of this rate equation. Observed declines in SPAD and NDVI under drought, nutrient limitation, or heat stress correspond to reductions in </w:t>
      </w:r>
      <w:proofErr w:type="spellStart"/>
      <w:proofErr w:type="gramStart"/>
      <w:r>
        <w:rPr>
          <w:rStyle w:val="mord"/>
        </w:rPr>
        <w:t>fW</w:t>
      </w:r>
      <w:proofErr w:type="spellEnd"/>
      <w:r>
        <w:rPr>
          <w:rStyle w:val="vlist-s"/>
        </w:rPr>
        <w:t>​</w:t>
      </w:r>
      <w:r>
        <w:t>,</w:t>
      </w:r>
      <w:proofErr w:type="gramEnd"/>
      <w:r>
        <w:t xml:space="preserve"> </w:t>
      </w:r>
      <w:proofErr w:type="spellStart"/>
      <w:r>
        <w:rPr>
          <w:rStyle w:val="mord"/>
        </w:rPr>
        <w:t>fN</w:t>
      </w:r>
      <w:proofErr w:type="spellEnd"/>
      <w:r>
        <w:rPr>
          <w:rStyle w:val="vlist-s"/>
        </w:rPr>
        <w:t>​</w:t>
      </w:r>
      <w:r>
        <w:t xml:space="preserve">, or </w:t>
      </w:r>
      <w:proofErr w:type="spellStart"/>
      <w:r>
        <w:rPr>
          <w:rStyle w:val="mord"/>
        </w:rPr>
        <w:t>fT</w:t>
      </w:r>
      <w:proofErr w:type="spellEnd"/>
      <w:r>
        <w:rPr>
          <w:rStyle w:val="vlist-s"/>
        </w:rPr>
        <w:t>​</w:t>
      </w:r>
      <w:r>
        <w:t xml:space="preserve"> and to decreases in </w:t>
      </w:r>
      <w:r>
        <w:rPr>
          <w:rStyle w:val="mord"/>
        </w:rPr>
        <w:t>Ψ</w:t>
      </w:r>
      <w:r>
        <w:t xml:space="preserve"> driven by elevated transpiration and respiratory costs. Conversely, restoration of water or nutrient supply increases survival, allowing pigment concentration and optical intensity to recover without changes in light availability.</w:t>
      </w:r>
    </w:p>
    <w:p w:rsidR="00172166" w:rsidRPr="00010F43" w:rsidRDefault="00172166" w:rsidP="00172166">
      <w:pPr>
        <w:pStyle w:val="Heading3"/>
        <w:rPr>
          <w:color w:val="000000" w:themeColor="text1"/>
        </w:rPr>
      </w:pPr>
      <w:r w:rsidRPr="00010F43">
        <w:rPr>
          <w:color w:val="000000" w:themeColor="text1"/>
        </w:rPr>
        <w:t>Conceptual Significance</w:t>
      </w:r>
    </w:p>
    <w:p w:rsidR="00172166" w:rsidRPr="0030266E" w:rsidRDefault="00172166" w:rsidP="00172166">
      <w:pPr>
        <w:pStyle w:val="NormalWeb"/>
      </w:pPr>
      <w:r w:rsidRPr="0030266E">
        <w:t xml:space="preserve">By explicitly incorporating energy survival into a rate-based formulation, this equation clarifies why pigment-based color indices saturate under high light and decline rapidly under stress. It demonstrates that plant color expression is controlled by the </w:t>
      </w:r>
      <w:r w:rsidRPr="0030266E">
        <w:rPr>
          <w:rStyle w:val="Strong"/>
        </w:rPr>
        <w:t>product of absorption, survival, and physiological constraint</w:t>
      </w:r>
      <w:r w:rsidRPr="0030266E">
        <w:t>, rather than by biosynthetic capacity alone.</w:t>
      </w:r>
    </w:p>
    <w:p w:rsidR="00172166" w:rsidRDefault="00172166" w:rsidP="00172166">
      <w:pPr>
        <w:pStyle w:val="NormalWeb"/>
      </w:pPr>
      <w:r>
        <w:lastRenderedPageBreak/>
        <w:t>This refined rate equation provides a physically grounded and experimentally accessible framework for analyzing plant color dynamics across scales. It bridges optical spectroscopy, plant physiology, and thermodynamic constraint, enabling consistent interpretation of pigment-based indicators in crops and natural ecosystems.</w:t>
      </w:r>
    </w:p>
    <w:p w:rsidR="00172166" w:rsidRPr="00010F43" w:rsidRDefault="00172166" w:rsidP="00172166">
      <w:pPr>
        <w:pStyle w:val="Heading2"/>
        <w:rPr>
          <w:color w:val="000000" w:themeColor="text1"/>
        </w:rPr>
      </w:pPr>
      <w:r w:rsidRPr="00010F43">
        <w:rPr>
          <w:rStyle w:val="Strong"/>
          <w:b/>
          <w:bCs/>
          <w:color w:val="000000" w:themeColor="text1"/>
        </w:rPr>
        <w:t>7. Interpretation of Color Fading and Intensification</w:t>
      </w:r>
    </w:p>
    <w:p w:rsidR="00172166" w:rsidRDefault="00172166" w:rsidP="00172166">
      <w:pPr>
        <w:pStyle w:val="NormalWeb"/>
      </w:pPr>
      <w:r>
        <w:t>Within the unified survival-based framework, plant color expression emerges from the dynamic balance between absorbed and retained resources and competing loss processes. Color intensification and fading are therefore not independent physiological phenomena but opposing outcomes of the same governing constraint: whether absorbed energetic and elemental inputs survive transport, metabolic turnover, and entropy production long enough to support pigment accumulation and stabilization.</w:t>
      </w:r>
    </w:p>
    <w:p w:rsidR="00172166" w:rsidRPr="00010F43" w:rsidRDefault="00172166" w:rsidP="00172166">
      <w:pPr>
        <w:pStyle w:val="Heading3"/>
        <w:rPr>
          <w:color w:val="000000" w:themeColor="text1"/>
        </w:rPr>
      </w:pPr>
      <w:r w:rsidRPr="00010F43">
        <w:rPr>
          <w:rStyle w:val="Strong"/>
          <w:b/>
          <w:bCs/>
          <w:color w:val="000000" w:themeColor="text1"/>
        </w:rPr>
        <w:t>7.1 Survival-Dominated Regime: Color Intensification</w:t>
      </w:r>
    </w:p>
    <w:p w:rsidR="00172166" w:rsidRDefault="00172166" w:rsidP="00172166">
      <w:pPr>
        <w:pStyle w:val="NormalWeb"/>
      </w:pPr>
      <w:r>
        <w:t>Color intensification occurs when absorbed and retained resources substantially exceed loss processes:</w:t>
      </w:r>
    </w:p>
    <w:p w:rsidR="00172166" w:rsidRDefault="00172166" w:rsidP="00172166">
      <w:proofErr w:type="spellStart"/>
      <w:r>
        <w:rPr>
          <w:rStyle w:val="katex-mathml"/>
        </w:rPr>
        <w:t>AE</w:t>
      </w:r>
      <w:r>
        <w:rPr>
          <w:rStyle w:val="katex-mathml"/>
          <w:rFonts w:ascii="Cambria Math" w:hAnsi="Cambria Math" w:cs="Cambria Math"/>
        </w:rPr>
        <w:t>≫</w:t>
      </w:r>
      <w:r w:rsidR="00010F43">
        <w:rPr>
          <w:rStyle w:val="katex-mathml"/>
        </w:rPr>
        <w:t>TE+ε</w:t>
      </w:r>
      <w:proofErr w:type="spellEnd"/>
      <w:proofErr w:type="gramStart"/>
      <w:r w:rsidR="00010F43">
        <w:rPr>
          <w:rStyle w:val="katex-mathml"/>
        </w:rPr>
        <w:t xml:space="preserve">,  </w:t>
      </w:r>
      <w:proofErr w:type="spellStart"/>
      <w:r w:rsidR="00010F43">
        <w:rPr>
          <w:rStyle w:val="katex-mathml"/>
        </w:rPr>
        <w:t>yieldin</w:t>
      </w:r>
      <w:proofErr w:type="spellEnd"/>
      <w:proofErr w:type="gramEnd"/>
      <w:r w:rsidR="00010F43">
        <w:rPr>
          <w:rStyle w:val="katex-mathml"/>
        </w:rPr>
        <w:t xml:space="preserve"> </w:t>
      </w:r>
      <w:r>
        <w:rPr>
          <w:rStyle w:val="katex-mathml"/>
        </w:rPr>
        <w:t>Ψ→1.</w:t>
      </w:r>
    </w:p>
    <w:p w:rsidR="00172166" w:rsidRDefault="00172166" w:rsidP="00172166">
      <w:pPr>
        <w:pStyle w:val="NormalWeb"/>
      </w:pPr>
      <w:r>
        <w:t>In this regime, sufficient energetic input, nutrient availability, and water balance allow pigment synthesis and stabilization to outpace degradation and dilution. Empirically, this condition is observed under moderate irradiance combined with adequate nitrogen, magnesium, and water supply, where chlorophyll concentration increases and leaf greenness intensifies. Field and greenhouse studies consistently show that under such conditions SPAD values and chlorophyll content rise until structural or optical saturation limits are reached.</w:t>
      </w:r>
    </w:p>
    <w:p w:rsidR="00172166" w:rsidRDefault="00172166" w:rsidP="00172166">
      <w:pPr>
        <w:pStyle w:val="NormalWeb"/>
      </w:pPr>
      <w:r>
        <w:t xml:space="preserve">This regime explains why improved water and nutrient availability often enhances color intensity even without changes in incident light. The increase in </w:t>
      </w:r>
      <w:r>
        <w:rPr>
          <w:rStyle w:val="mord"/>
        </w:rPr>
        <w:t>Ψ</w:t>
      </w:r>
      <w:r>
        <w:t xml:space="preserve"> reflects reduced transpiration-linked dissipation and lower maintenance respiration, allowing absorbed resources to persist and accumulate as stable pigment pools.</w:t>
      </w:r>
    </w:p>
    <w:p w:rsidR="00172166" w:rsidRDefault="00172166" w:rsidP="00172166">
      <w:pPr>
        <w:pStyle w:val="Heading3"/>
      </w:pPr>
      <w:r>
        <w:rPr>
          <w:rStyle w:val="Strong"/>
          <w:b/>
          <w:bCs/>
        </w:rPr>
        <w:t>7.2 Loss-Dominated Regime: Color Fading</w:t>
      </w:r>
    </w:p>
    <w:p w:rsidR="00172166" w:rsidRDefault="00172166" w:rsidP="00172166">
      <w:pPr>
        <w:pStyle w:val="NormalWeb"/>
      </w:pPr>
      <w:r>
        <w:t>Color fading occurs when loss processes equal or exceed absorbed and retained resources:</w:t>
      </w:r>
    </w:p>
    <w:p w:rsidR="00172166" w:rsidRDefault="00172166" w:rsidP="00172166">
      <w:proofErr w:type="spellStart"/>
      <w:r>
        <w:rPr>
          <w:rStyle w:val="katex-mathml"/>
        </w:rPr>
        <w:t>TE+ε≥AE</w:t>
      </w:r>
      <w:proofErr w:type="spellEnd"/>
      <w:proofErr w:type="gramStart"/>
      <w:r>
        <w:rPr>
          <w:rStyle w:val="katex-mathml"/>
        </w:rPr>
        <w:t>,</w:t>
      </w:r>
      <w:r w:rsidR="00010F43">
        <w:rPr>
          <w:rStyle w:val="katex-mathml"/>
        </w:rPr>
        <w:t xml:space="preserve">  </w:t>
      </w:r>
      <w:r>
        <w:rPr>
          <w:rStyle w:val="katex-mathml"/>
        </w:rPr>
        <w:t>yielding</w:t>
      </w:r>
      <w:proofErr w:type="gramEnd"/>
      <w:r w:rsidR="00010F43">
        <w:rPr>
          <w:rStyle w:val="katex-mathml"/>
        </w:rPr>
        <w:t xml:space="preserve">  </w:t>
      </w:r>
      <w:r>
        <w:rPr>
          <w:rStyle w:val="katex-mathml"/>
        </w:rPr>
        <w:t>Ψ</w:t>
      </w:r>
      <w:r>
        <w:rPr>
          <w:rStyle w:val="katex-mathml"/>
          <w:rFonts w:ascii="Cambria Math" w:hAnsi="Cambria Math" w:cs="Cambria Math"/>
        </w:rPr>
        <w:t>≪</w:t>
      </w:r>
      <w:r>
        <w:rPr>
          <w:rStyle w:val="katex-mathml"/>
        </w:rPr>
        <w:t>1.</w:t>
      </w:r>
    </w:p>
    <w:p w:rsidR="00172166" w:rsidRDefault="00172166" w:rsidP="00172166">
      <w:pPr>
        <w:pStyle w:val="NormalWeb"/>
      </w:pPr>
      <w:r>
        <w:t xml:space="preserve">Under this condition, pigment degradation, dilution, and turnover dominate over synthesis. Drought stress, high vapor pressure deficit, nutrient limitation, and temperature extremes consistently increase transpiration and respiratory demand while constraining nutrient uptake. Empirical measurements indicate that such stresses can reduce chlorophyll concentration by 20–60% within days to weeks, even under high </w:t>
      </w:r>
      <w:proofErr w:type="spellStart"/>
      <w:r>
        <w:t>photosynthetically</w:t>
      </w:r>
      <w:proofErr w:type="spellEnd"/>
      <w:r>
        <w:t xml:space="preserve"> active radiation.</w:t>
      </w:r>
    </w:p>
    <w:p w:rsidR="00172166" w:rsidRDefault="00172166" w:rsidP="00172166">
      <w:pPr>
        <w:pStyle w:val="NormalWeb"/>
      </w:pPr>
      <w:r>
        <w:lastRenderedPageBreak/>
        <w:t xml:space="preserve">Chlorophyll molecules are particularly sensitive to oxidative and metabolic degradation, leading to visible </w:t>
      </w:r>
      <w:proofErr w:type="spellStart"/>
      <w:r>
        <w:t>chlorosis</w:t>
      </w:r>
      <w:proofErr w:type="spellEnd"/>
      <w:r>
        <w:t>. Importantly, this decline frequently occurs despite intact biosynthetic pathways and abundant light, demonstrating that pigment loss arises from survival failure rather than impaired synthesis.</w:t>
      </w:r>
    </w:p>
    <w:p w:rsidR="00172166" w:rsidRPr="00C152DF" w:rsidRDefault="00172166" w:rsidP="00172166">
      <w:pPr>
        <w:pStyle w:val="Heading3"/>
        <w:rPr>
          <w:color w:val="000000" w:themeColor="text1"/>
        </w:rPr>
      </w:pPr>
      <w:r w:rsidRPr="00C152DF">
        <w:rPr>
          <w:rStyle w:val="Strong"/>
          <w:b/>
          <w:bCs/>
          <w:color w:val="000000" w:themeColor="text1"/>
        </w:rPr>
        <w:t xml:space="preserve">7.3 Stress-Induced Pigment Shifts and </w:t>
      </w:r>
      <w:proofErr w:type="spellStart"/>
      <w:r w:rsidRPr="00C152DF">
        <w:rPr>
          <w:rStyle w:val="Strong"/>
          <w:b/>
          <w:bCs/>
          <w:color w:val="000000" w:themeColor="text1"/>
        </w:rPr>
        <w:t>Anthocyanin</w:t>
      </w:r>
      <w:proofErr w:type="spellEnd"/>
      <w:r w:rsidRPr="00C152DF">
        <w:rPr>
          <w:rStyle w:val="Strong"/>
          <w:b/>
          <w:bCs/>
          <w:color w:val="000000" w:themeColor="text1"/>
        </w:rPr>
        <w:t xml:space="preserve"> Accumulation</w:t>
      </w:r>
    </w:p>
    <w:p w:rsidR="00172166" w:rsidRDefault="00172166" w:rsidP="00172166">
      <w:pPr>
        <w:pStyle w:val="NormalWeb"/>
      </w:pPr>
      <w:r>
        <w:t xml:space="preserve">The survival framework also explains stress-induced color shifts rather than uniform fading. Under conditions where carbon availability remains sufficient but energy balance is disrupted—such as high light combined with nutrient or water stress—plants often accumulate </w:t>
      </w:r>
      <w:proofErr w:type="spellStart"/>
      <w:r>
        <w:t>anthocyanins</w:t>
      </w:r>
      <w:proofErr w:type="spellEnd"/>
      <w:r>
        <w:t xml:space="preserve">. These pigments serve </w:t>
      </w:r>
      <w:proofErr w:type="spellStart"/>
      <w:r>
        <w:t>photoprotective</w:t>
      </w:r>
      <w:proofErr w:type="spellEnd"/>
      <w:r>
        <w:t xml:space="preserve"> and </w:t>
      </w:r>
      <w:proofErr w:type="spellStart"/>
      <w:r>
        <w:t>antioxidative</w:t>
      </w:r>
      <w:proofErr w:type="spellEnd"/>
      <w:r>
        <w:t xml:space="preserve"> roles and require lower long-term resource commitment than chlorophyll maintenance.</w:t>
      </w:r>
    </w:p>
    <w:p w:rsidR="00172166" w:rsidRDefault="00172166" w:rsidP="00172166">
      <w:pPr>
        <w:pStyle w:val="NormalWeb"/>
      </w:pPr>
      <w:r>
        <w:t xml:space="preserve">In survival terms, </w:t>
      </w:r>
      <w:proofErr w:type="spellStart"/>
      <w:r>
        <w:t>anthocyanin</w:t>
      </w:r>
      <w:proofErr w:type="spellEnd"/>
      <w:r>
        <w:t xml:space="preserve"> accumulation represents a redistribution of limited surviving resources toward pigments that mitigate further losses, rather than an increase in overall pigment synthesis capacity. This explains the widespread observation of reddening or purpling under stress conditions without invoking specialized stress-response efficiency mechanisms.</w:t>
      </w:r>
    </w:p>
    <w:p w:rsidR="00172166" w:rsidRPr="00C152DF" w:rsidRDefault="00172166" w:rsidP="00172166">
      <w:pPr>
        <w:pStyle w:val="Heading3"/>
        <w:rPr>
          <w:color w:val="000000" w:themeColor="text1"/>
        </w:rPr>
      </w:pPr>
      <w:r w:rsidRPr="00C152DF">
        <w:rPr>
          <w:rStyle w:val="Strong"/>
          <w:b/>
          <w:bCs/>
          <w:color w:val="000000" w:themeColor="text1"/>
        </w:rPr>
        <w:t xml:space="preserve">7.4 Saturation of Greenness </w:t>
      </w:r>
      <w:proofErr w:type="gramStart"/>
      <w:r w:rsidRPr="00C152DF">
        <w:rPr>
          <w:rStyle w:val="Strong"/>
          <w:b/>
          <w:bCs/>
          <w:color w:val="000000" w:themeColor="text1"/>
        </w:rPr>
        <w:t>Under</w:t>
      </w:r>
      <w:proofErr w:type="gramEnd"/>
      <w:r w:rsidRPr="00C152DF">
        <w:rPr>
          <w:rStyle w:val="Strong"/>
          <w:b/>
          <w:bCs/>
          <w:color w:val="000000" w:themeColor="text1"/>
        </w:rPr>
        <w:t xml:space="preserve"> High Light</w:t>
      </w:r>
    </w:p>
    <w:p w:rsidR="00172166" w:rsidRDefault="00172166" w:rsidP="00172166">
      <w:pPr>
        <w:pStyle w:val="NormalWeb"/>
      </w:pPr>
      <w:r>
        <w:t>A long-standing observation in plant physiology is the saturation of greenness and chlorophyll content under high irradiance. Within the unified framework, this saturation arises naturally when increases in absorbed radiant energy (</w:t>
      </w:r>
      <w:r>
        <w:rPr>
          <w:rStyle w:val="mord"/>
        </w:rPr>
        <w:t>AE</w:t>
      </w:r>
      <w:r>
        <w:t>) are matched by proportional increases in dissipation (</w:t>
      </w:r>
      <w:r>
        <w:rPr>
          <w:rStyle w:val="mord"/>
        </w:rPr>
        <w:t>TE</w:t>
      </w:r>
      <w:r>
        <w:t xml:space="preserve">) through non-photochemical quenching, thermal regulation, and respiratory overhead. As a result, </w:t>
      </w:r>
      <w:r>
        <w:rPr>
          <w:rStyle w:val="katex-mathml"/>
        </w:rPr>
        <w:t>Ψ</w:t>
      </w:r>
      <w:r>
        <w:rPr>
          <w:rStyle w:val="mord"/>
        </w:rPr>
        <w:t>Ψ</w:t>
      </w:r>
      <w:r>
        <w:t xml:space="preserve"> approaches a plateau, preventing further pigment accumulation despite continued increases in light intensity.</w:t>
      </w:r>
    </w:p>
    <w:p w:rsidR="00172166" w:rsidRDefault="00172166" w:rsidP="00172166">
      <w:pPr>
        <w:pStyle w:val="NormalWeb"/>
      </w:pPr>
      <w:r>
        <w:t>This behavior is consistent with numerous field observations showing that chlorophyll concentration and vegetation indices increase with light only up to moderate levels, beyond which additional irradiance yields diminishing or negligible color changes.</w:t>
      </w:r>
    </w:p>
    <w:p w:rsidR="00172166" w:rsidRPr="00C152DF" w:rsidRDefault="00172166" w:rsidP="00172166">
      <w:pPr>
        <w:pStyle w:val="Heading3"/>
        <w:rPr>
          <w:color w:val="000000" w:themeColor="text1"/>
        </w:rPr>
      </w:pPr>
      <w:r w:rsidRPr="00C152DF">
        <w:rPr>
          <w:rStyle w:val="Strong"/>
          <w:b/>
          <w:bCs/>
          <w:color w:val="000000" w:themeColor="text1"/>
        </w:rPr>
        <w:t>7.5 Recovery and Reversibility of Color Expression</w:t>
      </w:r>
    </w:p>
    <w:p w:rsidR="00172166" w:rsidRDefault="00172166" w:rsidP="00172166">
      <w:pPr>
        <w:pStyle w:val="NormalWeb"/>
      </w:pPr>
      <w:r>
        <w:t xml:space="preserve">Recovery of color following restoration of water or nutrient supply is a direct consequence of improved energy survival. Reduced transpiration stress, stabilized transport, and lower maintenance respiration decrease </w:t>
      </w:r>
      <w:r>
        <w:rPr>
          <w:rStyle w:val="mord"/>
        </w:rPr>
        <w:t>TE</w:t>
      </w:r>
      <w:r>
        <w:t xml:space="preserve"> and </w:t>
      </w:r>
      <w:r>
        <w:rPr>
          <w:rStyle w:val="mord"/>
        </w:rPr>
        <w:t>ε</w:t>
      </w:r>
      <w:r>
        <w:t xml:space="preserve">, increasing </w:t>
      </w:r>
      <w:r>
        <w:rPr>
          <w:rStyle w:val="mord"/>
        </w:rPr>
        <w:t>Ψ</w:t>
      </w:r>
      <w:r>
        <w:t>. Under these conditions, pigment synthesis again exceeds degradation, leading to gradual restoration of chlorophyll concentration and color intensity.</w:t>
      </w:r>
    </w:p>
    <w:p w:rsidR="00172166" w:rsidRDefault="00172166" w:rsidP="00172166">
      <w:pPr>
        <w:pStyle w:val="NormalWeb"/>
      </w:pPr>
      <w:proofErr w:type="gramStart"/>
      <w:r>
        <w:t>Empirical studies document partial to full recovery of chlorophyll content within days to weeks after rehydration or fertilization, even without changes in light availability.</w:t>
      </w:r>
      <w:proofErr w:type="gramEnd"/>
      <w:r>
        <w:t xml:space="preserve"> Such reversibility is difficult to explain using efficiency-based models but follows directly from survival-based dynamics.</w:t>
      </w:r>
    </w:p>
    <w:p w:rsidR="00172166" w:rsidRPr="00C152DF" w:rsidRDefault="00172166" w:rsidP="00172166">
      <w:pPr>
        <w:pStyle w:val="Heading3"/>
        <w:rPr>
          <w:color w:val="000000" w:themeColor="text1"/>
        </w:rPr>
      </w:pPr>
      <w:r w:rsidRPr="00C152DF">
        <w:rPr>
          <w:rStyle w:val="Strong"/>
          <w:b/>
          <w:bCs/>
          <w:color w:val="000000" w:themeColor="text1"/>
        </w:rPr>
        <w:lastRenderedPageBreak/>
        <w:t>7.6 Synthesis of Observed Color Phenomena</w:t>
      </w:r>
    </w:p>
    <w:p w:rsidR="00172166" w:rsidRDefault="00172166" w:rsidP="00172166">
      <w:pPr>
        <w:pStyle w:val="NormalWeb"/>
      </w:pPr>
      <w:r>
        <w:t>Taken together, the survival framework explains a broad range of observed color behaviors using a single governing principle:</w:t>
      </w:r>
    </w:p>
    <w:p w:rsidR="00172166" w:rsidRDefault="00172166" w:rsidP="00172166">
      <w:pPr>
        <w:pStyle w:val="NormalWeb"/>
      </w:pPr>
      <w:r>
        <w:t xml:space="preserve">• </w:t>
      </w:r>
      <w:proofErr w:type="spellStart"/>
      <w:proofErr w:type="gramStart"/>
      <w:r>
        <w:t>chlorosis</w:t>
      </w:r>
      <w:proofErr w:type="spellEnd"/>
      <w:proofErr w:type="gramEnd"/>
      <w:r>
        <w:t xml:space="preserve"> under nutrient or water stress arises from survival failure, not synthesis incapacity</w:t>
      </w:r>
      <w:r>
        <w:br/>
        <w:t>• stress-induced reddening reflects adaptive redistribution under constrained survival</w:t>
      </w:r>
      <w:r>
        <w:br/>
        <w:t>• greenness saturation under high light results from survival plateaus</w:t>
      </w:r>
      <w:r>
        <w:br/>
        <w:t>• color recovery follows restoration of energy and resource survival</w:t>
      </w:r>
    </w:p>
    <w:p w:rsidR="00172166" w:rsidRDefault="00172166" w:rsidP="00172166">
      <w:pPr>
        <w:pStyle w:val="NormalWeb"/>
      </w:pPr>
      <w:r>
        <w:t>These phenomena emerge naturally from the balance encoded in the energy survival factor,</w:t>
      </w:r>
    </w:p>
    <w:p w:rsidR="00172166" w:rsidRDefault="00172166" w:rsidP="00172166">
      <w:r>
        <w:rPr>
          <w:rStyle w:val="katex-mathml"/>
        </w:rPr>
        <w:t>Ψ=AE</w:t>
      </w:r>
      <w:r w:rsidR="00C152DF">
        <w:rPr>
          <w:rStyle w:val="katex-mathml"/>
        </w:rPr>
        <w:t>/</w:t>
      </w:r>
      <w:proofErr w:type="spellStart"/>
      <w:r>
        <w:rPr>
          <w:rStyle w:val="katex-mathml"/>
        </w:rPr>
        <w:t>TE+ε</w:t>
      </w:r>
      <w:proofErr w:type="spellEnd"/>
    </w:p>
    <w:p w:rsidR="00172166" w:rsidRDefault="00172166" w:rsidP="00172166">
      <w:pPr>
        <w:pStyle w:val="NormalWeb"/>
      </w:pPr>
      <w:proofErr w:type="gramStart"/>
      <w:r>
        <w:t>without</w:t>
      </w:r>
      <w:proofErr w:type="gramEnd"/>
      <w:r>
        <w:t xml:space="preserve"> invoking changes in intrinsic pigment efficiency or ad hoc regulatory assumptions.</w:t>
      </w:r>
    </w:p>
    <w:p w:rsidR="00172166" w:rsidRDefault="00172166" w:rsidP="00172166">
      <w:pPr>
        <w:pStyle w:val="NormalWeb"/>
      </w:pPr>
      <w:r>
        <w:t>By reframing plant color dynamics as outcomes of survival-limited energy and mass transfer, this framework provides a unified, physically interpretable explanation for color intensification, fading, and recovery across species and environments.</w:t>
      </w:r>
    </w:p>
    <w:p w:rsidR="00172166" w:rsidRPr="00C152DF" w:rsidRDefault="00172166" w:rsidP="00172166">
      <w:pPr>
        <w:pStyle w:val="Heading2"/>
        <w:rPr>
          <w:color w:val="000000" w:themeColor="text1"/>
        </w:rPr>
      </w:pPr>
      <w:r w:rsidRPr="00C152DF">
        <w:rPr>
          <w:rStyle w:val="Strong"/>
          <w:b/>
          <w:bCs/>
          <w:color w:val="000000" w:themeColor="text1"/>
        </w:rPr>
        <w:t xml:space="preserve">8. Empirical Consistency and Observational Support </w:t>
      </w:r>
    </w:p>
    <w:p w:rsidR="00172166" w:rsidRDefault="00172166" w:rsidP="00172166">
      <w:pPr>
        <w:pStyle w:val="NormalWeb"/>
      </w:pPr>
      <w:r>
        <w:t xml:space="preserve">A central requirement for any systems-level framework is that it reproduces the dominant empirical patterns observed across species, environments, and measurement platforms. Plant color dynamics provide a particularly strong test because pigments respond rapidly to changes in water status, nutrient supply, temperature, and oxidative load, and because pigment concentrations can be measured independently by biochemical assays, SPAD meters, and </w:t>
      </w:r>
      <w:proofErr w:type="spellStart"/>
      <w:r>
        <w:t>hyperspectral</w:t>
      </w:r>
      <w:proofErr w:type="spellEnd"/>
      <w:r>
        <w:t xml:space="preserve"> reflectance.</w:t>
      </w:r>
    </w:p>
    <w:p w:rsidR="00172166" w:rsidRDefault="00172166" w:rsidP="00172166">
      <w:pPr>
        <w:pStyle w:val="NormalWeb"/>
      </w:pPr>
      <w:r>
        <w:t xml:space="preserve">Across diverse </w:t>
      </w:r>
      <w:proofErr w:type="spellStart"/>
      <w:r>
        <w:t>taxa</w:t>
      </w:r>
      <w:proofErr w:type="spellEnd"/>
      <w:r>
        <w:t xml:space="preserve"> and climates, three robust empirical regularities are repeatedly observed.</w:t>
      </w:r>
    </w:p>
    <w:p w:rsidR="00172166" w:rsidRPr="00C152DF" w:rsidRDefault="00172166" w:rsidP="00172166">
      <w:pPr>
        <w:pStyle w:val="Heading3"/>
        <w:rPr>
          <w:color w:val="000000" w:themeColor="text1"/>
        </w:rPr>
      </w:pPr>
      <w:r w:rsidRPr="00C152DF">
        <w:rPr>
          <w:rStyle w:val="Strong"/>
          <w:b/>
          <w:bCs/>
          <w:color w:val="000000" w:themeColor="text1"/>
        </w:rPr>
        <w:t xml:space="preserve">8.1 Chlorophyll Decline </w:t>
      </w:r>
      <w:proofErr w:type="gramStart"/>
      <w:r w:rsidRPr="00C152DF">
        <w:rPr>
          <w:rStyle w:val="Strong"/>
          <w:b/>
          <w:bCs/>
          <w:color w:val="000000" w:themeColor="text1"/>
        </w:rPr>
        <w:t>Under</w:t>
      </w:r>
      <w:proofErr w:type="gramEnd"/>
      <w:r w:rsidRPr="00C152DF">
        <w:rPr>
          <w:rStyle w:val="Strong"/>
          <w:b/>
          <w:bCs/>
          <w:color w:val="000000" w:themeColor="text1"/>
        </w:rPr>
        <w:t xml:space="preserve"> Drought and Nitrogen Stress</w:t>
      </w:r>
    </w:p>
    <w:p w:rsidR="00172166" w:rsidRDefault="00172166" w:rsidP="00172166">
      <w:pPr>
        <w:pStyle w:val="NormalWeb"/>
      </w:pPr>
      <w:r>
        <w:rPr>
          <w:rStyle w:val="Strong"/>
        </w:rPr>
        <w:t>Chlorophyll concentration commonly declines under both water limitation and nitrogen deficiency</w:t>
      </w:r>
      <w:r>
        <w:t>, even when incident PAR remains high. Quantitatively, many field and controlled-environment studies report:</w:t>
      </w:r>
    </w:p>
    <w:p w:rsidR="00172166" w:rsidRDefault="00172166" w:rsidP="00172166">
      <w:pPr>
        <w:pStyle w:val="NormalWeb"/>
        <w:numPr>
          <w:ilvl w:val="0"/>
          <w:numId w:val="1"/>
        </w:numPr>
      </w:pPr>
      <w:r>
        <w:rPr>
          <w:rStyle w:val="Strong"/>
        </w:rPr>
        <w:t>Moderate drought</w:t>
      </w:r>
      <w:r>
        <w:t xml:space="preserve"> often produces </w:t>
      </w:r>
      <w:r>
        <w:rPr>
          <w:rStyle w:val="Strong"/>
        </w:rPr>
        <w:t>~20–50% reductions</w:t>
      </w:r>
      <w:r>
        <w:t xml:space="preserve"> in leaf chlorophyll concentration over days to weeks, accompanied by declines in SPAD readings and reduced greenness.</w:t>
      </w:r>
    </w:p>
    <w:p w:rsidR="00172166" w:rsidRDefault="00172166" w:rsidP="00172166">
      <w:pPr>
        <w:pStyle w:val="NormalWeb"/>
        <w:numPr>
          <w:ilvl w:val="0"/>
          <w:numId w:val="1"/>
        </w:numPr>
      </w:pPr>
      <w:r>
        <w:rPr>
          <w:rStyle w:val="Strong"/>
        </w:rPr>
        <w:t>Severe or prolonged drought</w:t>
      </w:r>
      <w:r>
        <w:t xml:space="preserve"> can lead to </w:t>
      </w:r>
      <w:r>
        <w:rPr>
          <w:rStyle w:val="Strong"/>
        </w:rPr>
        <w:t>&gt;50% reductions</w:t>
      </w:r>
      <w:r>
        <w:t xml:space="preserve">, frequently coincident with </w:t>
      </w:r>
      <w:proofErr w:type="spellStart"/>
      <w:r>
        <w:t>photoprotective</w:t>
      </w:r>
      <w:proofErr w:type="spellEnd"/>
      <w:r>
        <w:t xml:space="preserve"> </w:t>
      </w:r>
      <w:proofErr w:type="spellStart"/>
      <w:r>
        <w:t>upregulation</w:t>
      </w:r>
      <w:proofErr w:type="spellEnd"/>
      <w:r>
        <w:t xml:space="preserve"> and visible </w:t>
      </w:r>
      <w:proofErr w:type="spellStart"/>
      <w:r>
        <w:t>chlorosis</w:t>
      </w:r>
      <w:proofErr w:type="spellEnd"/>
      <w:r>
        <w:t>.</w:t>
      </w:r>
    </w:p>
    <w:p w:rsidR="00172166" w:rsidRDefault="00172166" w:rsidP="00172166">
      <w:pPr>
        <w:pStyle w:val="NormalWeb"/>
        <w:numPr>
          <w:ilvl w:val="0"/>
          <w:numId w:val="1"/>
        </w:numPr>
      </w:pPr>
      <w:r>
        <w:rPr>
          <w:rStyle w:val="Strong"/>
        </w:rPr>
        <w:t>Nitrogen limitation</w:t>
      </w:r>
      <w:r>
        <w:t xml:space="preserve"> produces strong chlorophyll decreases because chlorophyll–protein complexes and associated photosynthetic apparatus require large nitrogen investment; </w:t>
      </w:r>
      <w:r>
        <w:rPr>
          <w:rStyle w:val="Strong"/>
        </w:rPr>
        <w:t>SPAD/leaf chlorophyll frequently declines by ~15–60%</w:t>
      </w:r>
      <w:r>
        <w:t xml:space="preserve"> depending on severity and duration.</w:t>
      </w:r>
    </w:p>
    <w:p w:rsidR="00172166" w:rsidRDefault="00172166" w:rsidP="00172166">
      <w:pPr>
        <w:pStyle w:val="NormalWeb"/>
      </w:pPr>
      <w:r>
        <w:lastRenderedPageBreak/>
        <w:t xml:space="preserve">These outcomes are consistent with a survival-based interpretation: drought and N limitation reduce the retained resource pool available for pigment maintenance (lower </w:t>
      </w:r>
      <w:r>
        <w:rPr>
          <w:rStyle w:val="mord"/>
        </w:rPr>
        <w:t>AE</w:t>
      </w:r>
      <w:r>
        <w:t xml:space="preserve">) while simultaneously increasing maintenance/repair demands and stress dissipation (higher </w:t>
      </w:r>
      <w:r>
        <w:rPr>
          <w:rStyle w:val="mord"/>
        </w:rPr>
        <w:t>TE</w:t>
      </w:r>
      <w:r>
        <w:t xml:space="preserve"> and </w:t>
      </w:r>
      <w:r>
        <w:rPr>
          <w:rStyle w:val="mord"/>
        </w:rPr>
        <w:t>ε</w:t>
      </w:r>
      <w:r>
        <w:t xml:space="preserve">). Thus, </w:t>
      </w:r>
      <w:r>
        <w:rPr>
          <w:rStyle w:val="katex-mathml"/>
        </w:rPr>
        <w:t>Ψ</w:t>
      </w:r>
      <w:r>
        <w:rPr>
          <w:rStyle w:val="mord"/>
        </w:rPr>
        <w:t>Ψ</w:t>
      </w:r>
      <w:r>
        <w:t xml:space="preserve"> decreases even if biosynthetic pathways remain biochemically competent.</w:t>
      </w:r>
    </w:p>
    <w:p w:rsidR="00172166" w:rsidRPr="00C152DF" w:rsidRDefault="00172166" w:rsidP="00172166">
      <w:pPr>
        <w:pStyle w:val="Heading3"/>
        <w:rPr>
          <w:color w:val="000000" w:themeColor="text1"/>
        </w:rPr>
      </w:pPr>
      <w:r w:rsidRPr="00C152DF">
        <w:rPr>
          <w:rStyle w:val="Strong"/>
          <w:b/>
          <w:bCs/>
          <w:color w:val="000000" w:themeColor="text1"/>
        </w:rPr>
        <w:t>8.2 High Transpiration and Pigment Instability</w:t>
      </w:r>
    </w:p>
    <w:p w:rsidR="00172166" w:rsidRDefault="00172166" w:rsidP="00172166">
      <w:pPr>
        <w:pStyle w:val="NormalWeb"/>
      </w:pPr>
      <w:r>
        <w:t xml:space="preserve">A second widely documented pattern is that </w:t>
      </w:r>
      <w:r>
        <w:rPr>
          <w:rStyle w:val="Strong"/>
        </w:rPr>
        <w:t>high evaporative demand (high vapor pressure deficit, high temperature, low soil moisture)</w:t>
      </w:r>
      <w:r>
        <w:t xml:space="preserve"> is associated with pigment instability and faster color degradation. Observationally:</w:t>
      </w:r>
    </w:p>
    <w:p w:rsidR="00172166" w:rsidRDefault="00172166" w:rsidP="00172166">
      <w:pPr>
        <w:pStyle w:val="NormalWeb"/>
        <w:numPr>
          <w:ilvl w:val="0"/>
          <w:numId w:val="2"/>
        </w:numPr>
      </w:pPr>
      <w:r>
        <w:t xml:space="preserve">Under high VPD, transpiration can increase substantially, often </w:t>
      </w:r>
      <w:r>
        <w:rPr>
          <w:rStyle w:val="Strong"/>
        </w:rPr>
        <w:t>2–4×</w:t>
      </w:r>
      <w:r>
        <w:t xml:space="preserve"> relative to mild conditions, until hydraulic limits or </w:t>
      </w:r>
      <w:proofErr w:type="spellStart"/>
      <w:r>
        <w:t>stomatal</w:t>
      </w:r>
      <w:proofErr w:type="spellEnd"/>
      <w:r>
        <w:t xml:space="preserve"> closure occur.</w:t>
      </w:r>
    </w:p>
    <w:p w:rsidR="00172166" w:rsidRDefault="00172166" w:rsidP="00172166">
      <w:pPr>
        <w:pStyle w:val="NormalWeb"/>
        <w:numPr>
          <w:ilvl w:val="0"/>
          <w:numId w:val="2"/>
        </w:numPr>
      </w:pPr>
      <w:r>
        <w:t xml:space="preserve">These regimes coincide with increased oxidative pressure, greater requirement for </w:t>
      </w:r>
      <w:proofErr w:type="spellStart"/>
      <w:r>
        <w:t>photoprotective</w:t>
      </w:r>
      <w:proofErr w:type="spellEnd"/>
      <w:r>
        <w:t xml:space="preserve"> dissipation, and higher maintenance respiration—each contributing to greater resource loss and entropy production.</w:t>
      </w:r>
    </w:p>
    <w:p w:rsidR="00172166" w:rsidRDefault="00172166" w:rsidP="00172166">
      <w:pPr>
        <w:pStyle w:val="NormalWeb"/>
        <w:numPr>
          <w:ilvl w:val="0"/>
          <w:numId w:val="2"/>
        </w:numPr>
      </w:pPr>
      <w:r>
        <w:t xml:space="preserve">Pigment turnover accelerates and pigment pools become less stable, leading to reduced chlorophyll persistence and more variable </w:t>
      </w:r>
      <w:proofErr w:type="spellStart"/>
      <w:r>
        <w:t>carotenoid</w:t>
      </w:r>
      <w:proofErr w:type="spellEnd"/>
      <w:r>
        <w:t>/</w:t>
      </w:r>
      <w:proofErr w:type="spellStart"/>
      <w:r>
        <w:t>anthocyanin</w:t>
      </w:r>
      <w:proofErr w:type="spellEnd"/>
      <w:r>
        <w:t xml:space="preserve"> signals.</w:t>
      </w:r>
    </w:p>
    <w:p w:rsidR="00172166" w:rsidRDefault="00172166" w:rsidP="00172166">
      <w:pPr>
        <w:pStyle w:val="NormalWeb"/>
      </w:pPr>
      <w:r>
        <w:t xml:space="preserve">In the unified formulation, </w:t>
      </w:r>
      <w:proofErr w:type="gramStart"/>
      <w:r>
        <w:t>this maps</w:t>
      </w:r>
      <w:proofErr w:type="gramEnd"/>
      <w:r>
        <w:t xml:space="preserve"> directly to an increase in the loss terms </w:t>
      </w:r>
      <w:r>
        <w:rPr>
          <w:rStyle w:val="mord"/>
        </w:rPr>
        <w:t>TE</w:t>
      </w:r>
      <w:r>
        <w:t xml:space="preserve"> (transport + transpiration-linked dissipation) and </w:t>
      </w:r>
      <w:r>
        <w:rPr>
          <w:rStyle w:val="mord"/>
        </w:rPr>
        <w:t>ε</w:t>
      </w:r>
      <w:r>
        <w:t xml:space="preserve"> (irreversible degradation), which reduces:</w:t>
      </w:r>
    </w:p>
    <w:p w:rsidR="00172166" w:rsidRDefault="00172166" w:rsidP="00172166">
      <w:r>
        <w:rPr>
          <w:rStyle w:val="katex-mathml"/>
        </w:rPr>
        <w:t>Ψ=AE</w:t>
      </w:r>
      <w:r w:rsidR="00C152DF">
        <w:rPr>
          <w:rStyle w:val="katex-mathml"/>
        </w:rPr>
        <w:t>/</w:t>
      </w:r>
      <w:proofErr w:type="spellStart"/>
      <w:r>
        <w:rPr>
          <w:rStyle w:val="katex-mathml"/>
        </w:rPr>
        <w:t>TE+ε</w:t>
      </w:r>
      <w:proofErr w:type="spellEnd"/>
      <w:r>
        <w:rPr>
          <w:rStyle w:val="katex-mathml"/>
        </w:rPr>
        <w:t>.</w:t>
      </w:r>
    </w:p>
    <w:p w:rsidR="00172166" w:rsidRDefault="00172166" w:rsidP="00172166">
      <w:pPr>
        <w:pStyle w:val="NormalWeb"/>
      </w:pPr>
      <w:r>
        <w:t xml:space="preserve">Thus, </w:t>
      </w:r>
      <w:r>
        <w:rPr>
          <w:rStyle w:val="Strong"/>
        </w:rPr>
        <w:t xml:space="preserve">pigment instability is predicted to correlate most strongly with conditions that increase </w:t>
      </w:r>
      <w:proofErr w:type="spellStart"/>
      <w:r>
        <w:rPr>
          <w:rStyle w:val="mord"/>
          <w:b/>
          <w:bCs/>
        </w:rPr>
        <w:t>TE</w:t>
      </w:r>
      <w:r>
        <w:rPr>
          <w:rStyle w:val="mbin"/>
          <w:b/>
          <w:bCs/>
        </w:rPr>
        <w:t>+</w:t>
      </w:r>
      <w:r>
        <w:rPr>
          <w:rStyle w:val="mord"/>
          <w:b/>
          <w:bCs/>
        </w:rPr>
        <w:t>ε</w:t>
      </w:r>
      <w:proofErr w:type="spellEnd"/>
      <w:r>
        <w:t>, even if light absorption remains high.</w:t>
      </w:r>
    </w:p>
    <w:p w:rsidR="00172166" w:rsidRPr="00C152DF" w:rsidRDefault="00172166" w:rsidP="00172166">
      <w:pPr>
        <w:pStyle w:val="Heading3"/>
        <w:rPr>
          <w:color w:val="000000" w:themeColor="text1"/>
        </w:rPr>
      </w:pPr>
      <w:r w:rsidRPr="00C152DF">
        <w:rPr>
          <w:rStyle w:val="Strong"/>
          <w:b/>
          <w:bCs/>
          <w:color w:val="000000" w:themeColor="text1"/>
        </w:rPr>
        <w:t>8.3 Balanced Absorption Produces Deeper, More Uniform Coloration</w:t>
      </w:r>
    </w:p>
    <w:p w:rsidR="00172166" w:rsidRDefault="00172166" w:rsidP="00172166">
      <w:pPr>
        <w:pStyle w:val="NormalWeb"/>
      </w:pPr>
      <w:r>
        <w:t xml:space="preserve">A third consistent observation is that </w:t>
      </w:r>
      <w:r>
        <w:rPr>
          <w:rStyle w:val="Strong"/>
        </w:rPr>
        <w:t>deep, uniform coloration occurs when absorption is balanced by stable transport and low stress dissipation</w:t>
      </w:r>
      <w:r>
        <w:t>, typically under adequate water, nutrients, and moderate temperature. In such conditions:</w:t>
      </w:r>
    </w:p>
    <w:p w:rsidR="00172166" w:rsidRDefault="00172166" w:rsidP="00172166">
      <w:pPr>
        <w:pStyle w:val="NormalWeb"/>
        <w:numPr>
          <w:ilvl w:val="0"/>
          <w:numId w:val="3"/>
        </w:numPr>
      </w:pPr>
      <w:r>
        <w:t xml:space="preserve">Leaves maintain higher chlorophyll concentrations and a stable </w:t>
      </w:r>
      <w:proofErr w:type="spellStart"/>
      <w:r>
        <w:t>chlorophyll</w:t>
      </w:r>
      <w:proofErr w:type="gramStart"/>
      <w:r>
        <w:t>:carotenoid</w:t>
      </w:r>
      <w:proofErr w:type="spellEnd"/>
      <w:proofErr w:type="gramEnd"/>
      <w:r>
        <w:t xml:space="preserve"> balance.</w:t>
      </w:r>
    </w:p>
    <w:p w:rsidR="00172166" w:rsidRDefault="00172166" w:rsidP="00172166">
      <w:pPr>
        <w:pStyle w:val="NormalWeb"/>
        <w:numPr>
          <w:ilvl w:val="0"/>
          <w:numId w:val="3"/>
        </w:numPr>
      </w:pPr>
      <w:r>
        <w:t>Spatial variability in pigment expression declines (more uniform greenness across the canopy).</w:t>
      </w:r>
    </w:p>
    <w:p w:rsidR="00172166" w:rsidRDefault="00172166" w:rsidP="00172166">
      <w:pPr>
        <w:pStyle w:val="NormalWeb"/>
        <w:numPr>
          <w:ilvl w:val="0"/>
          <w:numId w:val="3"/>
        </w:numPr>
      </w:pPr>
      <w:r>
        <w:t>Reflectance indices (SPAD/NDVI-related signals) become less noisy and more stable over time.</w:t>
      </w:r>
    </w:p>
    <w:p w:rsidR="00172166" w:rsidRDefault="00172166" w:rsidP="00172166">
      <w:pPr>
        <w:pStyle w:val="NormalWeb"/>
      </w:pPr>
      <w:r>
        <w:t>This is the survival regime where:</w:t>
      </w:r>
    </w:p>
    <w:p w:rsidR="00172166" w:rsidRDefault="00172166" w:rsidP="00172166">
      <w:proofErr w:type="spellStart"/>
      <w:r>
        <w:rPr>
          <w:rStyle w:val="katex-mathml"/>
        </w:rPr>
        <w:t>AE</w:t>
      </w:r>
      <w:r>
        <w:rPr>
          <w:rStyle w:val="katex-mathml"/>
          <w:rFonts w:ascii="Cambria Math" w:hAnsi="Cambria Math" w:cs="Cambria Math"/>
        </w:rPr>
        <w:t>≫</w:t>
      </w:r>
      <w:r>
        <w:rPr>
          <w:rStyle w:val="katex-mathml"/>
        </w:rPr>
        <w:t>TE+ε</w:t>
      </w:r>
      <w:r>
        <w:rPr>
          <w:rStyle w:val="katex-mathml"/>
          <w:rFonts w:ascii="Cambria Math" w:hAnsi="Cambria Math" w:cs="Cambria Math"/>
        </w:rPr>
        <w:t>⇒</w:t>
      </w:r>
      <w:r>
        <w:rPr>
          <w:rStyle w:val="katex-mathml"/>
        </w:rPr>
        <w:t>Ψ</w:t>
      </w:r>
      <w:proofErr w:type="spellEnd"/>
      <w:r>
        <w:rPr>
          <w:rStyle w:val="katex-mathml"/>
        </w:rPr>
        <w:t> increases</w:t>
      </w:r>
      <w:r>
        <w:t xml:space="preserve"> </w:t>
      </w:r>
    </w:p>
    <w:p w:rsidR="00172166" w:rsidRDefault="00172166" w:rsidP="00172166">
      <w:pPr>
        <w:pStyle w:val="NormalWeb"/>
      </w:pPr>
      <w:proofErr w:type="gramStart"/>
      <w:r>
        <w:t>allowing</w:t>
      </w:r>
      <w:proofErr w:type="gramEnd"/>
      <w:r>
        <w:t xml:space="preserve"> pigment synthesis and stabilization to exceed turnover and degradation. Importantly, this explains why </w:t>
      </w:r>
      <w:r>
        <w:rPr>
          <w:rStyle w:val="Strong"/>
        </w:rPr>
        <w:t>improving water or nitrogen supply</w:t>
      </w:r>
      <w:r>
        <w:t xml:space="preserve"> can deepen coloration even without </w:t>
      </w:r>
      <w:r>
        <w:lastRenderedPageBreak/>
        <w:t xml:space="preserve">increasing incident light: the improvement acts primarily by increasing survival (raising </w:t>
      </w:r>
      <w:r>
        <w:rPr>
          <w:rStyle w:val="katex-mathml"/>
        </w:rPr>
        <w:t>Ψ</w:t>
      </w:r>
      <w:r>
        <w:rPr>
          <w:rStyle w:val="mord"/>
        </w:rPr>
        <w:t>Ψ</w:t>
      </w:r>
      <w:r>
        <w:t>), not by “boosting pigment efficiency.”</w:t>
      </w:r>
    </w:p>
    <w:p w:rsidR="00172166" w:rsidRPr="00C152DF" w:rsidRDefault="00172166" w:rsidP="00172166">
      <w:pPr>
        <w:pStyle w:val="Heading3"/>
        <w:rPr>
          <w:color w:val="000000" w:themeColor="text1"/>
        </w:rPr>
      </w:pPr>
      <w:r w:rsidRPr="00C152DF">
        <w:rPr>
          <w:rStyle w:val="Strong"/>
          <w:b/>
          <w:bCs/>
          <w:color w:val="000000" w:themeColor="text1"/>
        </w:rPr>
        <w:t xml:space="preserve">8.4 Quantitative Consistency </w:t>
      </w:r>
      <w:proofErr w:type="gramStart"/>
      <w:r w:rsidRPr="00C152DF">
        <w:rPr>
          <w:rStyle w:val="Strong"/>
          <w:b/>
          <w:bCs/>
          <w:color w:val="000000" w:themeColor="text1"/>
        </w:rPr>
        <w:t>With</w:t>
      </w:r>
      <w:proofErr w:type="gramEnd"/>
      <w:r w:rsidRPr="00C152DF">
        <w:rPr>
          <w:rStyle w:val="Strong"/>
          <w:b/>
          <w:bCs/>
          <w:color w:val="000000" w:themeColor="text1"/>
        </w:rPr>
        <w:t xml:space="preserve"> Survival-Limited Retention</w:t>
      </w:r>
    </w:p>
    <w:p w:rsidR="00172166" w:rsidRDefault="00172166" w:rsidP="00172166">
      <w:pPr>
        <w:pStyle w:val="NormalWeb"/>
      </w:pPr>
      <w:r>
        <w:t>A practical way to express observational consistency is to show that realistic survival fractions reproduce typical pigment outcomes. Using broadly accepted ranges:</w:t>
      </w:r>
    </w:p>
    <w:p w:rsidR="00172166" w:rsidRDefault="00172166" w:rsidP="00172166">
      <w:pPr>
        <w:pStyle w:val="NormalWeb"/>
        <w:numPr>
          <w:ilvl w:val="0"/>
          <w:numId w:val="4"/>
        </w:numPr>
      </w:pPr>
      <w:r>
        <w:t xml:space="preserve">Absorbed PAR fraction (leaf/canopy): </w:t>
      </w:r>
      <w:r>
        <w:rPr>
          <w:rStyle w:val="Strong"/>
        </w:rPr>
        <w:t>~0.45–0.70</w:t>
      </w:r>
    </w:p>
    <w:p w:rsidR="00172166" w:rsidRDefault="00172166" w:rsidP="00172166">
      <w:pPr>
        <w:pStyle w:val="NormalWeb"/>
        <w:numPr>
          <w:ilvl w:val="0"/>
          <w:numId w:val="4"/>
        </w:numPr>
      </w:pPr>
      <w:r>
        <w:t xml:space="preserve">Stress-free excitation survival and regulation: </w:t>
      </w:r>
      <w:r>
        <w:rPr>
          <w:rStyle w:val="Strong"/>
        </w:rPr>
        <w:t>~0.85–0.95</w:t>
      </w:r>
    </w:p>
    <w:p w:rsidR="00172166" w:rsidRDefault="00172166" w:rsidP="00172166">
      <w:pPr>
        <w:pStyle w:val="NormalWeb"/>
        <w:numPr>
          <w:ilvl w:val="0"/>
          <w:numId w:val="4"/>
        </w:numPr>
      </w:pPr>
      <w:r>
        <w:t xml:space="preserve">Respiratory + maintenance demand (fraction of assimilates): commonly </w:t>
      </w:r>
      <w:r>
        <w:rPr>
          <w:rStyle w:val="Strong"/>
        </w:rPr>
        <w:t>~0.30–0.60</w:t>
      </w:r>
      <w:r>
        <w:t>, often higher under stress</w:t>
      </w:r>
    </w:p>
    <w:p w:rsidR="00172166" w:rsidRDefault="00172166" w:rsidP="00172166">
      <w:pPr>
        <w:pStyle w:val="NormalWeb"/>
        <w:numPr>
          <w:ilvl w:val="0"/>
          <w:numId w:val="4"/>
        </w:numPr>
      </w:pPr>
      <w:r>
        <w:t>Stress conditions increase dissipation/repair demand (effective losses) substantially</w:t>
      </w:r>
    </w:p>
    <w:p w:rsidR="00172166" w:rsidRDefault="00172166" w:rsidP="00172166">
      <w:pPr>
        <w:pStyle w:val="NormalWeb"/>
      </w:pPr>
      <w:r>
        <w:t xml:space="preserve">These magnitudes imply that the fraction of absorbed energetic/material resources that remains available for sustained pigment retention is </w:t>
      </w:r>
      <w:r>
        <w:rPr>
          <w:rStyle w:val="Strong"/>
        </w:rPr>
        <w:t>naturally limited</w:t>
      </w:r>
      <w:r>
        <w:t xml:space="preserve"> and </w:t>
      </w:r>
      <w:r>
        <w:rPr>
          <w:rStyle w:val="Strong"/>
        </w:rPr>
        <w:t>highly stress-sensitive</w:t>
      </w:r>
      <w:r>
        <w:t xml:space="preserve">, consistent with measured chlorophyll declines and color instability under drought/N limitation and with stable coloration under balanced conditions. In the unified framework, these outcomes follow directly from </w:t>
      </w:r>
      <w:r>
        <w:rPr>
          <w:rStyle w:val="mord"/>
        </w:rPr>
        <w:t>Ψ</w:t>
      </w:r>
      <w:r>
        <w:t xml:space="preserve"> decreasing (stress) or increasing (recovery), rather than requiring changes in intrinsic pigment “efficiency.”</w:t>
      </w:r>
    </w:p>
    <w:p w:rsidR="00172166" w:rsidRPr="00C152DF" w:rsidRDefault="00172166" w:rsidP="00172166">
      <w:pPr>
        <w:pStyle w:val="Heading3"/>
        <w:rPr>
          <w:color w:val="000000" w:themeColor="text1"/>
        </w:rPr>
      </w:pPr>
      <w:r w:rsidRPr="00C152DF">
        <w:rPr>
          <w:rStyle w:val="Strong"/>
          <w:b/>
          <w:bCs/>
          <w:color w:val="000000" w:themeColor="text1"/>
        </w:rPr>
        <w:t>8.5 Falsifiable Predictions and Measurement Linkages</w:t>
      </w:r>
    </w:p>
    <w:p w:rsidR="00172166" w:rsidRDefault="00172166" w:rsidP="00172166">
      <w:pPr>
        <w:pStyle w:val="NormalWeb"/>
      </w:pPr>
      <w:r>
        <w:t>Because the framework is survival-based, it yields testable predictions that can be evaluated with standard measurements:</w:t>
      </w:r>
    </w:p>
    <w:p w:rsidR="00172166" w:rsidRDefault="00172166" w:rsidP="00172166">
      <w:pPr>
        <w:pStyle w:val="NormalWeb"/>
        <w:numPr>
          <w:ilvl w:val="0"/>
          <w:numId w:val="5"/>
        </w:numPr>
      </w:pPr>
      <w:r>
        <w:rPr>
          <w:rStyle w:val="Strong"/>
        </w:rPr>
        <w:t>If transpiration stress increases</w:t>
      </w:r>
      <w:r>
        <w:t xml:space="preserve">, </w:t>
      </w:r>
      <w:r>
        <w:rPr>
          <w:rStyle w:val="mord"/>
        </w:rPr>
        <w:t>TE</w:t>
      </w:r>
      <w:r>
        <w:t xml:space="preserve"> should rise and pigment stability should decrease even at constant </w:t>
      </w:r>
      <w:proofErr w:type="gramStart"/>
      <w:r>
        <w:rPr>
          <w:rStyle w:val="mord"/>
        </w:rPr>
        <w:t>IPAR</w:t>
      </w:r>
      <w:r>
        <w:rPr>
          <w:rStyle w:val="vlist-s"/>
        </w:rPr>
        <w:t>​</w:t>
      </w:r>
      <w:r>
        <w:t>.</w:t>
      </w:r>
      <w:proofErr w:type="gramEnd"/>
    </w:p>
    <w:p w:rsidR="00172166" w:rsidRDefault="00172166" w:rsidP="00172166">
      <w:pPr>
        <w:pStyle w:val="NormalWeb"/>
        <w:numPr>
          <w:ilvl w:val="0"/>
          <w:numId w:val="5"/>
        </w:numPr>
      </w:pPr>
      <w:r>
        <w:rPr>
          <w:rStyle w:val="Strong"/>
        </w:rPr>
        <w:t xml:space="preserve">If nitrogen </w:t>
      </w:r>
      <w:proofErr w:type="gramStart"/>
      <w:r>
        <w:rPr>
          <w:rStyle w:val="Strong"/>
        </w:rPr>
        <w:t>supply</w:t>
      </w:r>
      <w:proofErr w:type="gramEnd"/>
      <w:r>
        <w:rPr>
          <w:rStyle w:val="Strong"/>
        </w:rPr>
        <w:t xml:space="preserve"> increases</w:t>
      </w:r>
      <w:r>
        <w:t xml:space="preserve"> (without changing light), </w:t>
      </w:r>
      <w:r>
        <w:rPr>
          <w:rStyle w:val="mord"/>
        </w:rPr>
        <w:t>AE</w:t>
      </w:r>
      <w:r>
        <w:t xml:space="preserve"> increases and chlorophyll stability should increase via higher </w:t>
      </w:r>
      <w:r>
        <w:rPr>
          <w:rStyle w:val="mord"/>
        </w:rPr>
        <w:t>Ψ</w:t>
      </w:r>
      <w:r>
        <w:t>.</w:t>
      </w:r>
    </w:p>
    <w:p w:rsidR="00172166" w:rsidRDefault="00172166" w:rsidP="00172166">
      <w:pPr>
        <w:pStyle w:val="NormalWeb"/>
        <w:numPr>
          <w:ilvl w:val="0"/>
          <w:numId w:val="5"/>
        </w:numPr>
      </w:pPr>
      <w:r>
        <w:rPr>
          <w:rStyle w:val="Strong"/>
        </w:rPr>
        <w:t>If temperature stress increases</w:t>
      </w:r>
      <w:r>
        <w:t xml:space="preserve">, </w:t>
      </w:r>
      <w:r>
        <w:rPr>
          <w:rStyle w:val="mord"/>
        </w:rPr>
        <w:t>ε</w:t>
      </w:r>
      <w:r>
        <w:t xml:space="preserve"> and maintenance demand rise, decreasing </w:t>
      </w:r>
      <w:r>
        <w:rPr>
          <w:rStyle w:val="mord"/>
        </w:rPr>
        <w:t>Ψ</w:t>
      </w:r>
      <w:r>
        <w:t xml:space="preserve"> and accelerating pigment loss.</w:t>
      </w:r>
    </w:p>
    <w:p w:rsidR="00172166" w:rsidRDefault="00172166" w:rsidP="00172166">
      <w:pPr>
        <w:pStyle w:val="NormalWeb"/>
      </w:pPr>
      <w:r>
        <w:t>These can be tested by combining: SPAD (chlorophyll proxy), leaf water potential/VPD (transpiration stress), gas exchange (photosynthesis/respiration proxies), and reflectance/</w:t>
      </w:r>
      <w:proofErr w:type="spellStart"/>
      <w:r>
        <w:t>hyperspectral</w:t>
      </w:r>
      <w:proofErr w:type="spellEnd"/>
      <w:r>
        <w:t xml:space="preserve"> measurements (pigment composition).</w:t>
      </w:r>
    </w:p>
    <w:p w:rsidR="00172166" w:rsidRDefault="00172166" w:rsidP="00172166"/>
    <w:p w:rsidR="00172166" w:rsidRPr="00DD340E" w:rsidRDefault="00172166" w:rsidP="00172166">
      <w:pPr>
        <w:pStyle w:val="Heading3"/>
        <w:rPr>
          <w:color w:val="000000" w:themeColor="text1"/>
        </w:rPr>
      </w:pPr>
      <w:r w:rsidRPr="00DD340E">
        <w:rPr>
          <w:rStyle w:val="Strong"/>
          <w:b/>
          <w:bCs/>
          <w:color w:val="000000" w:themeColor="text1"/>
        </w:rPr>
        <w:t>Summary</w:t>
      </w:r>
    </w:p>
    <w:p w:rsidR="00172166" w:rsidRDefault="00172166" w:rsidP="00172166">
      <w:pPr>
        <w:pStyle w:val="NormalWeb"/>
      </w:pPr>
      <w:r>
        <w:t>Across species and environments, the consistent occurrence of (</w:t>
      </w:r>
      <w:proofErr w:type="spellStart"/>
      <w:r>
        <w:t>i</w:t>
      </w:r>
      <w:proofErr w:type="spellEnd"/>
      <w:r>
        <w:t xml:space="preserve">) chlorophyll decline under drought and nitrogen stress, (ii) pigment instability under high transpiration demand, and (iii) deeper, more uniform coloration under balanced conditions is quantitatively consistent with </w:t>
      </w:r>
      <w:r>
        <w:rPr>
          <w:rStyle w:val="Strong"/>
        </w:rPr>
        <w:t>survival-limited pigment retention</w:t>
      </w:r>
      <w:r>
        <w:t xml:space="preserve"> governed by:</w:t>
      </w:r>
    </w:p>
    <w:p w:rsidR="00172166" w:rsidRDefault="00172166" w:rsidP="00172166">
      <w:r>
        <w:rPr>
          <w:rStyle w:val="katex-mathml"/>
        </w:rPr>
        <w:lastRenderedPageBreak/>
        <w:t>Ψ=AE</w:t>
      </w:r>
      <w:r w:rsidR="00DD340E">
        <w:rPr>
          <w:rStyle w:val="katex-mathml"/>
        </w:rPr>
        <w:t>/</w:t>
      </w:r>
      <w:proofErr w:type="spellStart"/>
      <w:r>
        <w:rPr>
          <w:rStyle w:val="katex-mathml"/>
        </w:rPr>
        <w:t>TE+ε</w:t>
      </w:r>
      <w:proofErr w:type="spellEnd"/>
      <w:r>
        <w:t xml:space="preserve"> </w:t>
      </w:r>
    </w:p>
    <w:p w:rsidR="00172166" w:rsidRDefault="00172166" w:rsidP="00172166">
      <w:pPr>
        <w:pStyle w:val="NormalWeb"/>
      </w:pPr>
      <w:r>
        <w:t xml:space="preserve">This convergence of physiology, optics, and stress response supports the central claim that plant color stability is controlled primarily by </w:t>
      </w:r>
      <w:r>
        <w:rPr>
          <w:rStyle w:val="Strong"/>
        </w:rPr>
        <w:t>resource survival under loss and entropy constraints</w:t>
      </w:r>
      <w:r>
        <w:t>, rather than by pigment biosynthetic efficiency alone.</w:t>
      </w:r>
    </w:p>
    <w:p w:rsidR="00172166" w:rsidRDefault="00172166" w:rsidP="00172166">
      <w:pPr>
        <w:pStyle w:val="Heading5"/>
      </w:pPr>
    </w:p>
    <w:p w:rsidR="00172166" w:rsidRPr="00DD340E" w:rsidRDefault="00172166" w:rsidP="00172166">
      <w:pPr>
        <w:pStyle w:val="Heading2"/>
        <w:rPr>
          <w:color w:val="000000" w:themeColor="text1"/>
        </w:rPr>
      </w:pPr>
      <w:r w:rsidRPr="00DD340E">
        <w:rPr>
          <w:rStyle w:val="Strong"/>
          <w:b/>
          <w:bCs/>
          <w:color w:val="000000" w:themeColor="text1"/>
        </w:rPr>
        <w:t>9. Implications and Applications</w:t>
      </w:r>
    </w:p>
    <w:p w:rsidR="00172166" w:rsidRDefault="00172166" w:rsidP="00172166">
      <w:pPr>
        <w:pStyle w:val="NormalWeb"/>
      </w:pPr>
      <w:r>
        <w:t xml:space="preserve">By explicitly separating </w:t>
      </w:r>
      <w:r>
        <w:rPr>
          <w:rStyle w:val="Strong"/>
        </w:rPr>
        <w:t>absorption</w:t>
      </w:r>
      <w:r>
        <w:t xml:space="preserve">, </w:t>
      </w:r>
      <w:r>
        <w:rPr>
          <w:rStyle w:val="Strong"/>
        </w:rPr>
        <w:t>loss</w:t>
      </w:r>
      <w:r>
        <w:t xml:space="preserve">, and </w:t>
      </w:r>
      <w:r>
        <w:rPr>
          <w:rStyle w:val="Strong"/>
        </w:rPr>
        <w:t>survival</w:t>
      </w:r>
      <w:r>
        <w:t>, the unified plant color framework provides a physically grounded interpretive structure that extends beyond descriptive pigment metrics. Rather than treating color variation as a direct proxy for biosynthetic performance, the framework identifies color expression as an emergent outcome of survival-limited energy and resource fluxes. This distinction yields several important scientific and practical implications.</w:t>
      </w:r>
    </w:p>
    <w:p w:rsidR="00172166" w:rsidRPr="00DD340E" w:rsidRDefault="00172166" w:rsidP="00172166">
      <w:pPr>
        <w:pStyle w:val="Heading3"/>
        <w:rPr>
          <w:color w:val="000000" w:themeColor="text1"/>
        </w:rPr>
      </w:pPr>
      <w:r w:rsidRPr="00DD340E">
        <w:rPr>
          <w:rStyle w:val="Strong"/>
          <w:b/>
          <w:bCs/>
          <w:color w:val="000000" w:themeColor="text1"/>
        </w:rPr>
        <w:t>9.1 Diagnostic Separation of Absorption Limitation and Loss-Driven Stress</w:t>
      </w:r>
    </w:p>
    <w:p w:rsidR="00172166" w:rsidRDefault="00172166" w:rsidP="00172166">
      <w:pPr>
        <w:pStyle w:val="NormalWeb"/>
      </w:pPr>
      <w:r>
        <w:t>A major application of the framework is its ability to distinguish between conditions where pigment expression is limited by insufficient absorption and those where it is suppressed by excessive loss. In conventional interpretations, reductions in color intensity are often attributed generically to “stress” or “reduced photosynthesis.” However, these interpretations do not discriminate between reduced input and increased dissipation.</w:t>
      </w:r>
    </w:p>
    <w:p w:rsidR="00172166" w:rsidRDefault="00172166" w:rsidP="00172166">
      <w:pPr>
        <w:pStyle w:val="NormalWeb"/>
      </w:pPr>
      <w:r>
        <w:t xml:space="preserve">Within the survival framework, these regimes are clearly separable. Reduced incident radiation or leaf area lowers </w:t>
      </w:r>
      <w:r>
        <w:rPr>
          <w:rStyle w:val="mord"/>
        </w:rPr>
        <w:t>AE</w:t>
      </w:r>
      <w:r>
        <w:t xml:space="preserve">, while drought, nutrient limitation, high vapor pressure deficit, or temperature extremes increase </w:t>
      </w:r>
      <w:r>
        <w:rPr>
          <w:rStyle w:val="mord"/>
        </w:rPr>
        <w:t>TE</w:t>
      </w:r>
      <w:r>
        <w:t xml:space="preserve"> and </w:t>
      </w:r>
      <w:r>
        <w:rPr>
          <w:rStyle w:val="katex-mathml"/>
        </w:rPr>
        <w:t>ε</w:t>
      </w:r>
      <w:r>
        <w:t>. Two plants with similar color indices may therefore occupy fundamentally different energetic states—one absorption-limited, the other loss-dominated. This distinction is diagnostically important because the appropriate intervention differs: increasing light availability addresses absorption limitation, whereas reducing water stress or nutrient imbalance addresses survival loss.</w:t>
      </w:r>
    </w:p>
    <w:p w:rsidR="00172166" w:rsidRPr="00DD340E" w:rsidRDefault="00172166" w:rsidP="00172166">
      <w:pPr>
        <w:pStyle w:val="Heading3"/>
        <w:rPr>
          <w:color w:val="000000" w:themeColor="text1"/>
        </w:rPr>
      </w:pPr>
      <w:r w:rsidRPr="00DD340E">
        <w:rPr>
          <w:rStyle w:val="Strong"/>
          <w:b/>
          <w:bCs/>
          <w:color w:val="000000" w:themeColor="text1"/>
        </w:rPr>
        <w:t xml:space="preserve">9.2 Physical Explanation for Color Variability </w:t>
      </w:r>
      <w:proofErr w:type="gramStart"/>
      <w:r w:rsidRPr="00DD340E">
        <w:rPr>
          <w:rStyle w:val="Strong"/>
          <w:b/>
          <w:bCs/>
          <w:color w:val="000000" w:themeColor="text1"/>
        </w:rPr>
        <w:t>Across</w:t>
      </w:r>
      <w:proofErr w:type="gramEnd"/>
      <w:r w:rsidRPr="00DD340E">
        <w:rPr>
          <w:rStyle w:val="Strong"/>
          <w:b/>
          <w:bCs/>
          <w:color w:val="000000" w:themeColor="text1"/>
        </w:rPr>
        <w:t xml:space="preserve"> Crops and Ecosystems</w:t>
      </w:r>
    </w:p>
    <w:p w:rsidR="00172166" w:rsidRDefault="00172166" w:rsidP="00172166">
      <w:pPr>
        <w:pStyle w:val="NormalWeb"/>
      </w:pPr>
      <w:r>
        <w:t xml:space="preserve">Spatial and temporal variability in plant color is a ubiquitous feature of agricultural fields and natural ecosystems. Even within homogeneous stands, color intensity often varies substantially over short distances or time scales. The survival-based framework explains this variability as the natural consequence of localized differences in water availability, nutrient supply, microclimate, and hydraulic connectivity, all of which modulate </w:t>
      </w:r>
      <w:proofErr w:type="spellStart"/>
      <w:r>
        <w:rPr>
          <w:rStyle w:val="katex-mathml"/>
        </w:rPr>
        <w:t>TE+ε</w:t>
      </w:r>
      <w:proofErr w:type="spellEnd"/>
    </w:p>
    <w:p w:rsidR="00172166" w:rsidRDefault="00172166" w:rsidP="00172166">
      <w:pPr>
        <w:pStyle w:val="NormalWeb"/>
      </w:pPr>
      <w:r>
        <w:t xml:space="preserve">Field observations consistently show that areas with stable soil moisture and balanced nutrient supply maintain deeper, more uniform coloration, while zones exposed to transient water stress or nutrient limitation exhibit patchy </w:t>
      </w:r>
      <w:proofErr w:type="spellStart"/>
      <w:r>
        <w:t>chlorosis</w:t>
      </w:r>
      <w:proofErr w:type="spellEnd"/>
      <w:r>
        <w:t xml:space="preserve"> or stress pigmentation. These patterns arise without invoking differences in genetic potential or pigment biosynthetic capacity and are instead predicted by spatial variation in energy survival. Thus, color heterogeneity becomes an indicator of survival gradients rather than of intrinsic pigment efficiency.</w:t>
      </w:r>
    </w:p>
    <w:p w:rsidR="00172166" w:rsidRPr="00DD340E" w:rsidRDefault="00172166" w:rsidP="00172166">
      <w:pPr>
        <w:pStyle w:val="Heading3"/>
        <w:rPr>
          <w:color w:val="000000" w:themeColor="text1"/>
        </w:rPr>
      </w:pPr>
      <w:r w:rsidRPr="00DD340E">
        <w:rPr>
          <w:rStyle w:val="Strong"/>
          <w:b/>
          <w:bCs/>
          <w:color w:val="000000" w:themeColor="text1"/>
        </w:rPr>
        <w:lastRenderedPageBreak/>
        <w:t>9.3 Bridging Plant Physiology and Remote Sensing Indices</w:t>
      </w:r>
    </w:p>
    <w:p w:rsidR="00172166" w:rsidRDefault="00172166" w:rsidP="00172166">
      <w:pPr>
        <w:pStyle w:val="NormalWeb"/>
      </w:pPr>
      <w:r>
        <w:t xml:space="preserve">Remote sensing indices such as SPAD-derived chlorophyll proxies, NDVI, and related spectral metrics are widely used to infer plant health and productivity. However, these indices are often interpreted </w:t>
      </w:r>
      <w:proofErr w:type="spellStart"/>
      <w:r>
        <w:t>phenomenologically</w:t>
      </w:r>
      <w:proofErr w:type="spellEnd"/>
      <w:r>
        <w:t>, without explicit linkage to underlying energy and mass balance.</w:t>
      </w:r>
    </w:p>
    <w:p w:rsidR="00172166" w:rsidRDefault="00172166" w:rsidP="00172166">
      <w:pPr>
        <w:pStyle w:val="NormalWeb"/>
      </w:pPr>
      <w:r>
        <w:t xml:space="preserve">The survival framework provides this missing bridge. Changes in spectral indices can be interpreted as changes in </w:t>
      </w:r>
      <w:r>
        <w:rPr>
          <w:rStyle w:val="katex-mathml"/>
        </w:rPr>
        <w:t>Ψ</w:t>
      </w:r>
      <w:r>
        <w:rPr>
          <w:rStyle w:val="mord"/>
        </w:rPr>
        <w:t>Ψ</w:t>
      </w:r>
      <w:r>
        <w:t>, reflecting shifts in the balance between absorbed resources and loss processes. For example, declining NDVI under high irradiance and stable canopy structure can be attributed to increased transpiration-linked dissipation and entropy production rather than to reduced absorption. This interpretation improves the physiological meaning of remotely sensed signals and enhances their predictive value under variable environmental conditions.</w:t>
      </w:r>
    </w:p>
    <w:p w:rsidR="00172166" w:rsidRDefault="00172166" w:rsidP="00172166">
      <w:pPr>
        <w:pStyle w:val="NormalWeb"/>
      </w:pPr>
      <w:r>
        <w:t>By grounding spectral variation in survival dynamics, the framework supports more robust integration of remote sensing data with process-based crop and ecosystem models.</w:t>
      </w:r>
    </w:p>
    <w:p w:rsidR="00172166" w:rsidRPr="00DD340E" w:rsidRDefault="00172166" w:rsidP="00172166">
      <w:pPr>
        <w:pStyle w:val="Heading3"/>
        <w:rPr>
          <w:color w:val="000000" w:themeColor="text1"/>
        </w:rPr>
      </w:pPr>
      <w:r w:rsidRPr="00DD340E">
        <w:rPr>
          <w:rStyle w:val="Strong"/>
          <w:b/>
          <w:bCs/>
          <w:color w:val="000000" w:themeColor="text1"/>
        </w:rPr>
        <w:t>9.4 Guidance for Management and Intervention Strategies</w:t>
      </w:r>
    </w:p>
    <w:p w:rsidR="00172166" w:rsidRDefault="00172166" w:rsidP="00172166">
      <w:pPr>
        <w:pStyle w:val="NormalWeb"/>
      </w:pPr>
      <w:r>
        <w:t xml:space="preserve">From a management perspective, the framework shifts emphasis away from maximizing pigment synthesis toward stabilizing energy and resource survival. Numerous agronomic interventions—such as irrigation scheduling, nitrogen management, canopy density </w:t>
      </w:r>
      <w:proofErr w:type="gramStart"/>
      <w:r>
        <w:t>optimization,</w:t>
      </w:r>
      <w:proofErr w:type="gramEnd"/>
      <w:r>
        <w:t xml:space="preserve"> and microclimate control—primarily influence loss terms rather than absorption.</w:t>
      </w:r>
    </w:p>
    <w:p w:rsidR="00172166" w:rsidRDefault="00172166" w:rsidP="00172166">
      <w:pPr>
        <w:pStyle w:val="NormalWeb"/>
      </w:pPr>
      <w:r>
        <w:t xml:space="preserve">Empirical evidence shows that restoring water supply or correcting nutrient imbalance often leads to rapid recovery of color intensity without any change in light availability. Within the unified framework, such responses are interpreted as increases in </w:t>
      </w:r>
      <w:r>
        <w:rPr>
          <w:rStyle w:val="katex-mathml"/>
        </w:rPr>
        <w:t>Ψ</w:t>
      </w:r>
      <w:r>
        <w:rPr>
          <w:rStyle w:val="mord"/>
        </w:rPr>
        <w:t>Ψ</w:t>
      </w:r>
      <w:r>
        <w:t xml:space="preserve"> driven by reduced transpiration stress and lower maintenance respiration. This explains why modest reductions in stress frequently produce disproportionate improvements in visible plant condition.</w:t>
      </w:r>
    </w:p>
    <w:p w:rsidR="00172166" w:rsidRDefault="00172166" w:rsidP="00172166">
      <w:pPr>
        <w:pStyle w:val="NormalWeb"/>
      </w:pPr>
      <w:r>
        <w:t>Consequently, management practices that reduce loss and stabilize survival are predicted to yield more persistent and resilient color expression than strategies aimed solely at increasing pigment biosynthetic capacity or light interception.</w:t>
      </w:r>
    </w:p>
    <w:p w:rsidR="00172166" w:rsidRPr="00DD340E" w:rsidRDefault="00172166" w:rsidP="00172166">
      <w:pPr>
        <w:pStyle w:val="Heading3"/>
        <w:rPr>
          <w:color w:val="000000" w:themeColor="text1"/>
        </w:rPr>
      </w:pPr>
      <w:r w:rsidRPr="00DD340E">
        <w:rPr>
          <w:rStyle w:val="Strong"/>
          <w:b/>
          <w:bCs/>
          <w:color w:val="000000" w:themeColor="text1"/>
        </w:rPr>
        <w:t>9.5 Broader Scientific Implications</w:t>
      </w:r>
    </w:p>
    <w:p w:rsidR="00172166" w:rsidRDefault="00172166" w:rsidP="00172166">
      <w:pPr>
        <w:pStyle w:val="NormalWeb"/>
      </w:pPr>
      <w:r>
        <w:t>More broadly, the survival-based interpretation of plant color extends the concept of energy survival beyond biomass accumulation to visible phenotypic traits. It demonstrates that color expression, like growth, is governed by non-equilibrium thermodynamic constraints and compounded loss processes. This insight aligns plant color dynamics with broader principles of biological energy utilization and supports the general applicability of the survival framework across functional traits.</w:t>
      </w:r>
    </w:p>
    <w:p w:rsidR="00172166" w:rsidRDefault="00172166" w:rsidP="00172166"/>
    <w:p w:rsidR="00172166" w:rsidRPr="00DD340E" w:rsidRDefault="00172166" w:rsidP="00172166">
      <w:pPr>
        <w:pStyle w:val="Heading3"/>
        <w:rPr>
          <w:color w:val="000000" w:themeColor="text1"/>
        </w:rPr>
      </w:pPr>
      <w:r w:rsidRPr="00DD340E">
        <w:rPr>
          <w:rStyle w:val="Strong"/>
          <w:b/>
          <w:bCs/>
          <w:color w:val="000000" w:themeColor="text1"/>
        </w:rPr>
        <w:lastRenderedPageBreak/>
        <w:t>Synthesis</w:t>
      </w:r>
    </w:p>
    <w:p w:rsidR="00172166" w:rsidRDefault="00172166" w:rsidP="00172166">
      <w:pPr>
        <w:pStyle w:val="NormalWeb"/>
      </w:pPr>
      <w:r>
        <w:t>Taken together, the implications of the unified plant color framework can be summarized as follows:</w:t>
      </w:r>
    </w:p>
    <w:p w:rsidR="00172166" w:rsidRDefault="00172166" w:rsidP="00172166">
      <w:pPr>
        <w:pStyle w:val="NormalWeb"/>
      </w:pPr>
      <w:r>
        <w:t xml:space="preserve">• </w:t>
      </w:r>
      <w:proofErr w:type="gramStart"/>
      <w:r>
        <w:t>plant</w:t>
      </w:r>
      <w:proofErr w:type="gramEnd"/>
      <w:r>
        <w:t xml:space="preserve"> color variation reflects survival-limited resource retention rather than pigment efficiency</w:t>
      </w:r>
      <w:r>
        <w:br/>
        <w:t>• stress primarily suppresses color by increasing dissipation and entropy production</w:t>
      </w:r>
      <w:r>
        <w:br/>
        <w:t>• absorption alone is insufficient to sustain pigmentation without stable survival</w:t>
      </w:r>
      <w:r>
        <w:br/>
        <w:t xml:space="preserve">• remote sensing indices gain physical meaning when interpreted through </w:t>
      </w:r>
      <w:r>
        <w:rPr>
          <w:rStyle w:val="mord"/>
        </w:rPr>
        <w:t>Ψ</w:t>
      </w:r>
      <w:r>
        <w:br/>
        <w:t>• effective interventions reduce loss rather than maximizing synthesis</w:t>
      </w:r>
    </w:p>
    <w:p w:rsidR="00172166" w:rsidRDefault="00172166" w:rsidP="00172166">
      <w:pPr>
        <w:pStyle w:val="NormalWeb"/>
      </w:pPr>
      <w:r>
        <w:t>By reframing plant color generation and stability as a survival-limited process governed by</w:t>
      </w:r>
    </w:p>
    <w:p w:rsidR="00172166" w:rsidRDefault="00172166" w:rsidP="00172166">
      <w:r>
        <w:rPr>
          <w:rStyle w:val="katex-mathml"/>
        </w:rPr>
        <w:t>Ψ=AE</w:t>
      </w:r>
      <w:r w:rsidR="00DD340E">
        <w:rPr>
          <w:rStyle w:val="katex-mathml"/>
        </w:rPr>
        <w:t>/</w:t>
      </w:r>
      <w:proofErr w:type="spellStart"/>
      <w:r>
        <w:rPr>
          <w:rStyle w:val="katex-mathml"/>
        </w:rPr>
        <w:t>TE+ε</w:t>
      </w:r>
      <w:proofErr w:type="spellEnd"/>
    </w:p>
    <w:p w:rsidR="00172166" w:rsidRDefault="00172166" w:rsidP="00172166">
      <w:pPr>
        <w:pStyle w:val="NormalWeb"/>
      </w:pPr>
      <w:proofErr w:type="gramStart"/>
      <w:r>
        <w:t>this</w:t>
      </w:r>
      <w:proofErr w:type="gramEnd"/>
      <w:r>
        <w:t xml:space="preserve"> framework provides a robust, physically interpretable foundation for diagnostics, monitoring, and management across agricultural and ecological systems.</w:t>
      </w:r>
    </w:p>
    <w:p w:rsidR="00172166" w:rsidRPr="00DD340E" w:rsidRDefault="00172166" w:rsidP="00172166">
      <w:pPr>
        <w:pStyle w:val="Heading2"/>
        <w:rPr>
          <w:color w:val="000000" w:themeColor="text1"/>
        </w:rPr>
      </w:pPr>
      <w:r w:rsidRPr="00DD340E">
        <w:rPr>
          <w:rStyle w:val="Strong"/>
          <w:b/>
          <w:bCs/>
          <w:color w:val="000000" w:themeColor="text1"/>
        </w:rPr>
        <w:t>10. Conclusion</w:t>
      </w:r>
    </w:p>
    <w:p w:rsidR="00172166" w:rsidRDefault="00172166" w:rsidP="00172166">
      <w:pPr>
        <w:pStyle w:val="NormalWeb"/>
      </w:pPr>
      <w:r>
        <w:t xml:space="preserve">Plant color generation and stability emerge from the same fundamental physical constraints that govern all biological processes operating far from thermodynamic equilibrium. Although pigment biosynthesis pathways are well established at the molecular level, this study demonstrates that visible coloration is not determined by biosynthetic efficiency alone. Instead, sustained pigment accumulation and optical stability depend primarily on the </w:t>
      </w:r>
      <w:r>
        <w:rPr>
          <w:rStyle w:val="Strong"/>
        </w:rPr>
        <w:t>survival of absorbed energetic and elemental resources</w:t>
      </w:r>
      <w:r>
        <w:t xml:space="preserve"> against transport dissipation, metabolic turnover, and irreversible entropy production.</w:t>
      </w:r>
    </w:p>
    <w:p w:rsidR="00172166" w:rsidRDefault="00172166" w:rsidP="00172166">
      <w:pPr>
        <w:pStyle w:val="NormalWeb"/>
      </w:pPr>
      <w:r>
        <w:t xml:space="preserve">By integrating absorption dynamics, transpiration-driven loss, pigment biochemistry, optical behavior, and non-equilibrium thermodynamics within a single systems-level framework, this work establishes plant coloration as a </w:t>
      </w:r>
      <w:r>
        <w:rPr>
          <w:rStyle w:val="Strong"/>
        </w:rPr>
        <w:t>survival-limited process</w:t>
      </w:r>
      <w:r>
        <w:t>. Central to this framework is the energy survival factor,</w:t>
      </w:r>
    </w:p>
    <w:p w:rsidR="00172166" w:rsidRDefault="00172166" w:rsidP="00172166">
      <w:r>
        <w:rPr>
          <w:rStyle w:val="katex-mathml"/>
        </w:rPr>
        <w:t>Ψ=AE</w:t>
      </w:r>
      <w:r w:rsidR="00DD340E">
        <w:rPr>
          <w:rStyle w:val="katex-mathml"/>
        </w:rPr>
        <w:t>/</w:t>
      </w:r>
      <w:proofErr w:type="spellStart"/>
      <w:r>
        <w:rPr>
          <w:rStyle w:val="katex-mathml"/>
        </w:rPr>
        <w:t>TE+ε</w:t>
      </w:r>
      <w:proofErr w:type="spellEnd"/>
    </w:p>
    <w:p w:rsidR="00172166" w:rsidRDefault="00172166" w:rsidP="00172166">
      <w:pPr>
        <w:pStyle w:val="NormalWeb"/>
      </w:pPr>
      <w:proofErr w:type="gramStart"/>
      <w:r>
        <w:t>which</w:t>
      </w:r>
      <w:proofErr w:type="gramEnd"/>
      <w:r>
        <w:t xml:space="preserve"> quantifies whether absorbed resources persist long enough to support pigment maintenance and optical expression. By construction, </w:t>
      </w:r>
      <w:r>
        <w:rPr>
          <w:rStyle w:val="katex-mathml"/>
        </w:rPr>
        <w:t>Ψ</w:t>
      </w:r>
      <w:r>
        <w:rPr>
          <w:rStyle w:val="mord"/>
        </w:rPr>
        <w:t>Ψ</w:t>
      </w:r>
      <w:r>
        <w:t xml:space="preserve"> is strictly bounded between zero and unity, ensuring full compliance with the second law of thermodynamics and clearly distinguishing survival from classical efficiency metrics.</w:t>
      </w:r>
    </w:p>
    <w:p w:rsidR="00172166" w:rsidRDefault="00172166" w:rsidP="00172166">
      <w:pPr>
        <w:pStyle w:val="NormalWeb"/>
      </w:pPr>
      <w:r>
        <w:t xml:space="preserve">When empirically supported ranges for absorption, transpiration, respiratory demand, and stress-induced dissipation are applied, the framework reproduces widely observed patterns of color behavior across species and environments. Declines in chlorophyll concentration under drought and nitrogen stress, pigment instability under high evaporative demand, saturation of greenness under high irradiance, stress-induced </w:t>
      </w:r>
      <w:proofErr w:type="spellStart"/>
      <w:r>
        <w:t>anthocyanin</w:t>
      </w:r>
      <w:proofErr w:type="spellEnd"/>
      <w:r>
        <w:t xml:space="preserve"> accumulation, and rapid color recovery following rehydration or fertilization all emerge naturally as consequences of changes in </w:t>
      </w:r>
      <w:r>
        <w:rPr>
          <w:rStyle w:val="mord"/>
        </w:rPr>
        <w:t>Ψ</w:t>
      </w:r>
      <w:r>
        <w:t xml:space="preserve">, </w:t>
      </w:r>
      <w:r>
        <w:lastRenderedPageBreak/>
        <w:t>without invoking impairment of pigment biosynthetic machinery or ad hoc regulatory assumptions.</w:t>
      </w:r>
    </w:p>
    <w:p w:rsidR="00172166" w:rsidRDefault="00172166" w:rsidP="00172166">
      <w:pPr>
        <w:pStyle w:val="NormalWeb"/>
      </w:pPr>
      <w:r>
        <w:t xml:space="preserve">Importantly, the framework explains why increased light availability or enhanced biosynthetic capacity often fails to intensify coloration under field conditions. Increases in absorbed radiation are frequently offset by proportional increases in transpiration-linked dissipation and metabolic maintenance costs, resulting in survival plateaus that limit pigment persistence. Conversely, interventions that stabilize water balance, nutrient supply, and thermal conditions increase </w:t>
      </w:r>
      <w:r>
        <w:rPr>
          <w:rStyle w:val="mord"/>
        </w:rPr>
        <w:t>Ψ</w:t>
      </w:r>
      <w:r>
        <w:t>, allowing pigment synthesis and stabilization to exceed turnover and degradation.</w:t>
      </w:r>
    </w:p>
    <w:p w:rsidR="00172166" w:rsidRDefault="00172166" w:rsidP="00172166">
      <w:pPr>
        <w:pStyle w:val="NormalWeb"/>
      </w:pPr>
      <w:r>
        <w:t>By explicitly separating absorption from survival, this work advances plant color research beyond descriptive or efficiency-based interpretations toward a physically interpretable understanding grounded in energy flow and thermodynamic constraint. The resulting formulation provides a unified explanatory basis for pigment dynamics across molecular, organ, and ecosystem scales and offers a robust bridge between plant physiology, optical spectroscopy, and remote-sensing observations.</w:t>
      </w:r>
    </w:p>
    <w:p w:rsidR="00172166" w:rsidRDefault="00172166" w:rsidP="00172166">
      <w:pPr>
        <w:pStyle w:val="NormalWeb"/>
      </w:pPr>
      <w:r>
        <w:t xml:space="preserve">More broadly, the survival-based perspective articulated here demonstrates that visible plant traits, like biomass accumulation, are governed by universal constraints on energy and resource persistence rather than by idealized biochemical potential. In this sense, the energy survival factor </w:t>
      </w:r>
      <w:r>
        <w:rPr>
          <w:rStyle w:val="katex-mathml"/>
        </w:rPr>
        <w:t>Ψ</w:t>
      </w:r>
      <w:r>
        <w:rPr>
          <w:rStyle w:val="mord"/>
        </w:rPr>
        <w:t>Ψ</w:t>
      </w:r>
      <w:r>
        <w:t xml:space="preserve"> represents a general organizing principle for phenotypic expression in living systems.</w:t>
      </w:r>
    </w:p>
    <w:p w:rsidR="00172166" w:rsidRDefault="00172166" w:rsidP="00172166">
      <w:pPr>
        <w:pStyle w:val="NormalWeb"/>
      </w:pPr>
      <w:r>
        <w:t xml:space="preserve">By reframing plant coloration as a survival-limited outcome of coupled mass–energy fluxes, this study provides a durable conceptual foundation for crop diagnostics, ecological monitoring, and comparative plant </w:t>
      </w:r>
      <w:proofErr w:type="spellStart"/>
      <w:r>
        <w:t>phenotyping</w:t>
      </w:r>
      <w:proofErr w:type="spellEnd"/>
      <w:r>
        <w:t>, and contributes to a broader systems-level understanding of how energy flow governs biological form and function.</w:t>
      </w:r>
    </w:p>
    <w:p w:rsidR="00172166" w:rsidRDefault="00172166" w:rsidP="00172166"/>
    <w:p w:rsidR="00172166" w:rsidRPr="00DD340E" w:rsidRDefault="00172166" w:rsidP="00172166">
      <w:pPr>
        <w:pStyle w:val="Heading2"/>
        <w:rPr>
          <w:color w:val="000000" w:themeColor="text1"/>
        </w:rPr>
      </w:pPr>
      <w:r w:rsidRPr="00DD340E">
        <w:rPr>
          <w:rStyle w:val="Strong"/>
          <w:b/>
          <w:bCs/>
          <w:color w:val="000000" w:themeColor="text1"/>
        </w:rPr>
        <w:t>Novelty and Scientific Contribution</w:t>
      </w:r>
    </w:p>
    <w:p w:rsidR="00172166" w:rsidRDefault="00172166" w:rsidP="00172166">
      <w:pPr>
        <w:pStyle w:val="NormalWeb"/>
      </w:pPr>
      <w:r>
        <w:t xml:space="preserve">This study makes a fundamental conceptual and quantitative contribution to plant science by introducing </w:t>
      </w:r>
      <w:r>
        <w:rPr>
          <w:rStyle w:val="Strong"/>
        </w:rPr>
        <w:t>energy and resource survival</w:t>
      </w:r>
      <w:r>
        <w:t xml:space="preserve"> as an explicit governing constraint on biological expression, formalized through the unified survival factor</w:t>
      </w:r>
    </w:p>
    <w:p w:rsidR="00172166" w:rsidRDefault="00172166" w:rsidP="00172166">
      <w:r>
        <w:rPr>
          <w:rStyle w:val="katex-mathml"/>
        </w:rPr>
        <w:t>Ψ=AE</w:t>
      </w:r>
      <w:r w:rsidR="00DD340E">
        <w:rPr>
          <w:rStyle w:val="katex-mathml"/>
        </w:rPr>
        <w:t>/</w:t>
      </w:r>
      <w:proofErr w:type="spellStart"/>
      <w:r>
        <w:rPr>
          <w:rStyle w:val="katex-mathml"/>
        </w:rPr>
        <w:t>TE+ε</w:t>
      </w:r>
      <w:proofErr w:type="spellEnd"/>
    </w:p>
    <w:p w:rsidR="00172166" w:rsidRDefault="00172166" w:rsidP="00172166">
      <w:pPr>
        <w:pStyle w:val="NormalWeb"/>
      </w:pPr>
      <w:r>
        <w:t>While individual components of plant function—absorption, transpiration, respiration, pigment biosynthesis, and optical behavior—have been extensively studied, they have not previously been integrated within a single, thermodynamically consistent framework that treats survival against loss as an independent, multiplicative limitation. This work fills that gap.</w:t>
      </w:r>
    </w:p>
    <w:p w:rsidR="00172166" w:rsidRPr="00DD340E" w:rsidRDefault="00172166" w:rsidP="00172166">
      <w:pPr>
        <w:pStyle w:val="Heading3"/>
        <w:rPr>
          <w:color w:val="000000" w:themeColor="text1"/>
        </w:rPr>
      </w:pPr>
      <w:r w:rsidRPr="00DD340E">
        <w:rPr>
          <w:rStyle w:val="Strong"/>
          <w:b/>
          <w:bCs/>
          <w:color w:val="000000" w:themeColor="text1"/>
        </w:rPr>
        <w:t>1. Introduction of Energy Survival as a Distinct Physical Constraint</w:t>
      </w:r>
    </w:p>
    <w:p w:rsidR="00172166" w:rsidRDefault="00172166" w:rsidP="00172166">
      <w:pPr>
        <w:pStyle w:val="NormalWeb"/>
      </w:pPr>
      <w:r>
        <w:t xml:space="preserve">The primary novelty of this research lies in the formal separation of </w:t>
      </w:r>
      <w:r>
        <w:rPr>
          <w:rStyle w:val="Strong"/>
        </w:rPr>
        <w:t>energy and resource survival</w:t>
      </w:r>
      <w:r>
        <w:t xml:space="preserve"> from traditional efficiency-based interpretations. Existing models implicitly assume that </w:t>
      </w:r>
      <w:r>
        <w:lastRenderedPageBreak/>
        <w:t xml:space="preserve">absorbed resources proceed directly to biochemical outcomes, with losses treated as secondary corrections. In contrast, this study demonstrates that </w:t>
      </w:r>
      <w:r>
        <w:rPr>
          <w:rStyle w:val="Strong"/>
        </w:rPr>
        <w:t>whether absorbed resources survive transport, dissipation, and entropy production is itself a dominant constraint</w:t>
      </w:r>
      <w:r>
        <w:t>.</w:t>
      </w:r>
    </w:p>
    <w:p w:rsidR="00172166" w:rsidRDefault="00172166" w:rsidP="00172166">
      <w:pPr>
        <w:pStyle w:val="NormalWeb"/>
      </w:pPr>
      <w:r>
        <w:t xml:space="preserve">The survival factor </w:t>
      </w:r>
      <w:r>
        <w:rPr>
          <w:rStyle w:val="katex-mathml"/>
        </w:rPr>
        <w:t>Ψ</w:t>
      </w:r>
      <w:r>
        <w:rPr>
          <w:rStyle w:val="mord"/>
        </w:rPr>
        <w:t>Ψ</w:t>
      </w:r>
      <w:r>
        <w:t xml:space="preserve"> is not </w:t>
      </w:r>
      <w:proofErr w:type="gramStart"/>
      <w:r>
        <w:t>an efficiency</w:t>
      </w:r>
      <w:proofErr w:type="gramEnd"/>
      <w:r>
        <w:t xml:space="preserve"> metric and does not redefine photosynthetic or pigment efficiencies. Instead, it quantifies the persistence of absorbed energy and materials within the biological system boundary. This distinction resolves long-standing inconsistencies between theoretical biochemical capacity and observed phenotypic limits.</w:t>
      </w:r>
    </w:p>
    <w:p w:rsidR="00172166" w:rsidRPr="00DD340E" w:rsidRDefault="00172166" w:rsidP="00172166">
      <w:pPr>
        <w:pStyle w:val="Heading3"/>
        <w:rPr>
          <w:color w:val="000000" w:themeColor="text1"/>
        </w:rPr>
      </w:pPr>
      <w:r w:rsidRPr="00DD340E">
        <w:rPr>
          <w:rStyle w:val="Strong"/>
          <w:b/>
          <w:bCs/>
          <w:color w:val="000000" w:themeColor="text1"/>
        </w:rPr>
        <w:t>2. A Unified Law Linking Absorption, Loss, and Biological Expression</w:t>
      </w:r>
    </w:p>
    <w:p w:rsidR="00172166" w:rsidRDefault="00172166" w:rsidP="00172166">
      <w:pPr>
        <w:pStyle w:val="NormalWeb"/>
      </w:pPr>
      <w:r>
        <w:t xml:space="preserve">This work introduces a </w:t>
      </w:r>
      <w:r>
        <w:rPr>
          <w:rStyle w:val="Strong"/>
        </w:rPr>
        <w:t>general survival-based law</w:t>
      </w:r>
      <w:r>
        <w:t xml:space="preserve"> that links absorbed input (</w:t>
      </w:r>
      <w:r>
        <w:rPr>
          <w:rStyle w:val="mord"/>
        </w:rPr>
        <w:t>AE</w:t>
      </w:r>
      <w:r>
        <w:t>), unavoidable losses (</w:t>
      </w:r>
      <w:proofErr w:type="spellStart"/>
      <w:r>
        <w:rPr>
          <w:rStyle w:val="katex-mathml"/>
        </w:rPr>
        <w:t>TE+ε</w:t>
      </w:r>
      <w:proofErr w:type="spellEnd"/>
      <w:r>
        <w:t>), and observable biological outcomes. Unlike prior formulations that focus on isolated subsystems (e.g., leaf biochemistry or canopy optics), the unified equation applies across organizational scales—from molecular pigment turnover to whole-plant and ecosystem behavior.</w:t>
      </w:r>
    </w:p>
    <w:p w:rsidR="00172166" w:rsidRDefault="00172166" w:rsidP="00172166">
      <w:pPr>
        <w:pStyle w:val="NormalWeb"/>
      </w:pPr>
      <w:r>
        <w:t xml:space="preserve">The framework demonstrates that biological expression (biomass, color, stability) is constrained by the </w:t>
      </w:r>
      <w:r>
        <w:rPr>
          <w:rStyle w:val="Strong"/>
        </w:rPr>
        <w:t>balance between absorption and dissipation</w:t>
      </w:r>
      <w:r>
        <w:t>, rather than by intrinsic biochemical potential alone. This represents a conceptual advance beyond compartmental or efficiency-only models.</w:t>
      </w:r>
    </w:p>
    <w:p w:rsidR="00172166" w:rsidRPr="00DD340E" w:rsidRDefault="00172166" w:rsidP="00172166">
      <w:pPr>
        <w:pStyle w:val="Heading3"/>
        <w:rPr>
          <w:color w:val="000000" w:themeColor="text1"/>
        </w:rPr>
      </w:pPr>
      <w:r w:rsidRPr="00DD340E">
        <w:rPr>
          <w:rStyle w:val="Strong"/>
          <w:b/>
          <w:bCs/>
          <w:color w:val="000000" w:themeColor="text1"/>
        </w:rPr>
        <w:t>3. Quantitative Reconciliation of Empirical Observations</w:t>
      </w:r>
    </w:p>
    <w:p w:rsidR="00172166" w:rsidRDefault="00172166" w:rsidP="00172166">
      <w:pPr>
        <w:pStyle w:val="NormalWeb"/>
      </w:pPr>
      <w:r>
        <w:t>A key contribution of this study is that it reconciles a wide range of empirical observations using a single physical principle. Independently measured and widely accepted ranges—including:</w:t>
      </w:r>
    </w:p>
    <w:p w:rsidR="00172166" w:rsidRDefault="00172166" w:rsidP="00172166">
      <w:pPr>
        <w:pStyle w:val="NormalWeb"/>
        <w:numPr>
          <w:ilvl w:val="0"/>
          <w:numId w:val="6"/>
        </w:numPr>
      </w:pPr>
      <w:proofErr w:type="gramStart"/>
      <w:r>
        <w:t>absorbed</w:t>
      </w:r>
      <w:proofErr w:type="gramEnd"/>
      <w:r>
        <w:t xml:space="preserve"> PAR fractions (~45–70%),</w:t>
      </w:r>
    </w:p>
    <w:p w:rsidR="00172166" w:rsidRDefault="00172166" w:rsidP="00172166">
      <w:pPr>
        <w:pStyle w:val="NormalWeb"/>
        <w:numPr>
          <w:ilvl w:val="0"/>
          <w:numId w:val="6"/>
        </w:numPr>
      </w:pPr>
      <w:r>
        <w:t>transpiration and respiratory costs (~30–60% of assimilated resources),</w:t>
      </w:r>
    </w:p>
    <w:p w:rsidR="00172166" w:rsidRDefault="00172166" w:rsidP="00172166">
      <w:pPr>
        <w:pStyle w:val="NormalWeb"/>
        <w:numPr>
          <w:ilvl w:val="0"/>
          <w:numId w:val="6"/>
        </w:numPr>
      </w:pPr>
      <w:r>
        <w:t>stress-induced increases in dissipation under drought, high VPD, and nutrient limitation,</w:t>
      </w:r>
    </w:p>
    <w:p w:rsidR="00172166" w:rsidRDefault="00172166" w:rsidP="00172166">
      <w:pPr>
        <w:pStyle w:val="NormalWeb"/>
      </w:pPr>
      <w:proofErr w:type="gramStart"/>
      <w:r>
        <w:t>naturally</w:t>
      </w:r>
      <w:proofErr w:type="gramEnd"/>
      <w:r>
        <w:t xml:space="preserve"> yield survival fractions consistent with observed limits on biomass accumulation and pigment stability. These outcomes emerge </w:t>
      </w:r>
      <w:r>
        <w:rPr>
          <w:rStyle w:val="Strong"/>
        </w:rPr>
        <w:t>without parameter tuning or ad hoc correction factors</w:t>
      </w:r>
      <w:r>
        <w:t>, demonstrating that observed constraints are thermodynamically inevitable rather than biologically inefficient.</w:t>
      </w:r>
    </w:p>
    <w:p w:rsidR="00172166" w:rsidRPr="00DD340E" w:rsidRDefault="00172166" w:rsidP="00172166">
      <w:pPr>
        <w:pStyle w:val="Heading3"/>
        <w:rPr>
          <w:color w:val="000000" w:themeColor="text1"/>
        </w:rPr>
      </w:pPr>
      <w:r w:rsidRPr="00DD340E">
        <w:rPr>
          <w:rStyle w:val="Strong"/>
          <w:b/>
          <w:bCs/>
          <w:color w:val="000000" w:themeColor="text1"/>
        </w:rPr>
        <w:t>4. Resolution of Long-Standing Conceptual Gaps</w:t>
      </w:r>
    </w:p>
    <w:p w:rsidR="00172166" w:rsidRDefault="00172166" w:rsidP="00172166">
      <w:pPr>
        <w:pStyle w:val="NormalWeb"/>
      </w:pPr>
      <w:r>
        <w:t>The survival-based framework resolves several persistent conceptual problems in plant science that existing models could not explain mechanistically, including:</w:t>
      </w:r>
    </w:p>
    <w:p w:rsidR="00172166" w:rsidRDefault="00172166" w:rsidP="00172166">
      <w:pPr>
        <w:pStyle w:val="NormalWeb"/>
        <w:numPr>
          <w:ilvl w:val="0"/>
          <w:numId w:val="7"/>
        </w:numPr>
      </w:pPr>
      <w:r>
        <w:t>why increased light does not proportionally increase biomass or color intensity,</w:t>
      </w:r>
    </w:p>
    <w:p w:rsidR="00172166" w:rsidRDefault="00172166" w:rsidP="00172166">
      <w:pPr>
        <w:pStyle w:val="NormalWeb"/>
        <w:numPr>
          <w:ilvl w:val="0"/>
          <w:numId w:val="7"/>
        </w:numPr>
      </w:pPr>
      <w:r>
        <w:t>why pigment loss occurs under stress despite intact biosynthetic pathways,</w:t>
      </w:r>
    </w:p>
    <w:p w:rsidR="00172166" w:rsidRDefault="00172166" w:rsidP="00172166">
      <w:pPr>
        <w:pStyle w:val="NormalWeb"/>
        <w:numPr>
          <w:ilvl w:val="0"/>
          <w:numId w:val="7"/>
        </w:numPr>
      </w:pPr>
      <w:r>
        <w:t>why color and productivity saturate under favorable conditions,</w:t>
      </w:r>
    </w:p>
    <w:p w:rsidR="00172166" w:rsidRDefault="00172166" w:rsidP="00172166">
      <w:pPr>
        <w:pStyle w:val="NormalWeb"/>
        <w:numPr>
          <w:ilvl w:val="0"/>
          <w:numId w:val="7"/>
        </w:numPr>
      </w:pPr>
      <w:proofErr w:type="gramStart"/>
      <w:r>
        <w:t>why</w:t>
      </w:r>
      <w:proofErr w:type="gramEnd"/>
      <w:r>
        <w:t xml:space="preserve"> recovery can occur rapidly when stress is alleviated without changes in light.</w:t>
      </w:r>
    </w:p>
    <w:p w:rsidR="00172166" w:rsidRDefault="00172166" w:rsidP="00172166">
      <w:pPr>
        <w:pStyle w:val="NormalWeb"/>
      </w:pPr>
      <w:r>
        <w:lastRenderedPageBreak/>
        <w:t>By identifying survival loss—not synthesis failure—as the governing limitation, the framework provides a unifying explanation for these phenomena.</w:t>
      </w:r>
    </w:p>
    <w:p w:rsidR="00172166" w:rsidRPr="00DD340E" w:rsidRDefault="00172166" w:rsidP="00172166">
      <w:pPr>
        <w:pStyle w:val="Heading3"/>
        <w:rPr>
          <w:color w:val="000000" w:themeColor="text1"/>
        </w:rPr>
      </w:pPr>
      <w:r w:rsidRPr="00DD340E">
        <w:rPr>
          <w:rStyle w:val="Strong"/>
          <w:b/>
          <w:bCs/>
          <w:color w:val="000000" w:themeColor="text1"/>
        </w:rPr>
        <w:t xml:space="preserve">5. Extension of Energy Survival </w:t>
      </w:r>
      <w:proofErr w:type="gramStart"/>
      <w:r w:rsidRPr="00DD340E">
        <w:rPr>
          <w:rStyle w:val="Strong"/>
          <w:b/>
          <w:bCs/>
          <w:color w:val="000000" w:themeColor="text1"/>
        </w:rPr>
        <w:t>Beyond</w:t>
      </w:r>
      <w:proofErr w:type="gramEnd"/>
      <w:r w:rsidRPr="00DD340E">
        <w:rPr>
          <w:rStyle w:val="Strong"/>
          <w:b/>
          <w:bCs/>
          <w:color w:val="000000" w:themeColor="text1"/>
        </w:rPr>
        <w:t xml:space="preserve"> Biomass to Visible Traits</w:t>
      </w:r>
    </w:p>
    <w:p w:rsidR="00172166" w:rsidRDefault="00172166" w:rsidP="00172166">
      <w:pPr>
        <w:pStyle w:val="NormalWeb"/>
      </w:pPr>
      <w:r>
        <w:t xml:space="preserve">Another novel aspect of this work is the extension of survival-based energy principles from biomass formation to </w:t>
      </w:r>
      <w:r>
        <w:rPr>
          <w:rStyle w:val="Strong"/>
        </w:rPr>
        <w:t>visible phenotypic traits</w:t>
      </w:r>
      <w:r>
        <w:t>, specifically plant coloration. This demonstrates that survival-limited dynamics govern not only growth but also optical expression, linking physiology, biochemistry, and spectroscopy within a single physical framework.</w:t>
      </w:r>
    </w:p>
    <w:p w:rsidR="00172166" w:rsidRDefault="00172166" w:rsidP="00172166">
      <w:pPr>
        <w:pStyle w:val="NormalWeb"/>
      </w:pPr>
      <w:r>
        <w:t>This extension is nontrivial: it shows that traits traditionally interpreted as biochemical or regulatory outcomes are in fact constrained by whole-system energy and resource survival.</w:t>
      </w:r>
    </w:p>
    <w:p w:rsidR="00172166" w:rsidRPr="00DD340E" w:rsidRDefault="00172166" w:rsidP="00172166">
      <w:pPr>
        <w:pStyle w:val="Heading3"/>
        <w:rPr>
          <w:color w:val="000000" w:themeColor="text1"/>
        </w:rPr>
      </w:pPr>
      <w:r w:rsidRPr="00DD340E">
        <w:rPr>
          <w:rStyle w:val="Strong"/>
          <w:b/>
          <w:bCs/>
          <w:color w:val="000000" w:themeColor="text1"/>
        </w:rPr>
        <w:t>6. Generality and Transferability of the Framework</w:t>
      </w:r>
    </w:p>
    <w:p w:rsidR="00172166" w:rsidRDefault="00172166" w:rsidP="00172166">
      <w:pPr>
        <w:pStyle w:val="NormalWeb"/>
      </w:pPr>
      <w:r>
        <w:t xml:space="preserve">Although developed in the context of plant systems, the survival formulation is </w:t>
      </w:r>
      <w:r>
        <w:rPr>
          <w:rStyle w:val="Strong"/>
        </w:rPr>
        <w:t xml:space="preserve">not </w:t>
      </w:r>
      <w:proofErr w:type="gramStart"/>
      <w:r>
        <w:rPr>
          <w:rStyle w:val="Strong"/>
        </w:rPr>
        <w:t>species- or trait-specific</w:t>
      </w:r>
      <w:proofErr w:type="gramEnd"/>
      <w:r>
        <w:t xml:space="preserve">. Any living system operating far from equilibrium must balance absorbed input against transport dissipation and entropy production. In this sense, </w:t>
      </w:r>
      <w:r>
        <w:rPr>
          <w:rStyle w:val="katex-mathml"/>
        </w:rPr>
        <w:t>Ψ</w:t>
      </w:r>
      <w:r>
        <w:rPr>
          <w:rStyle w:val="mord"/>
        </w:rPr>
        <w:t>Ψ</w:t>
      </w:r>
      <w:r>
        <w:t xml:space="preserve"> represents a </w:t>
      </w:r>
      <w:r>
        <w:rPr>
          <w:rStyle w:val="Strong"/>
        </w:rPr>
        <w:t>general organizing principle</w:t>
      </w:r>
      <w:r>
        <w:t xml:space="preserve"> for useful energy and resource utilization in biological systems.</w:t>
      </w:r>
    </w:p>
    <w:p w:rsidR="00172166" w:rsidRDefault="00172166" w:rsidP="00172166">
      <w:pPr>
        <w:pStyle w:val="NormalWeb"/>
      </w:pPr>
      <w:r>
        <w:t>This generality distinguishes the present work from empirical plant models and positions it as a foundational contribution to systems bioenergetics.</w:t>
      </w:r>
    </w:p>
    <w:p w:rsidR="00172166" w:rsidRDefault="00172166" w:rsidP="00172166"/>
    <w:p w:rsidR="00172166" w:rsidRPr="00DD340E" w:rsidRDefault="00172166" w:rsidP="00172166">
      <w:pPr>
        <w:pStyle w:val="Heading2"/>
        <w:rPr>
          <w:color w:val="000000" w:themeColor="text1"/>
        </w:rPr>
      </w:pPr>
      <w:r w:rsidRPr="00DD340E">
        <w:rPr>
          <w:rStyle w:val="Strong"/>
          <w:b/>
          <w:bCs/>
          <w:color w:val="000000" w:themeColor="text1"/>
        </w:rPr>
        <w:t>Summary of Novel Contributions</w:t>
      </w:r>
    </w:p>
    <w:p w:rsidR="00172166" w:rsidRDefault="00172166" w:rsidP="00172166">
      <w:pPr>
        <w:pStyle w:val="NormalWeb"/>
      </w:pPr>
      <w:r>
        <w:t>This research contributes to science by:</w:t>
      </w:r>
    </w:p>
    <w:p w:rsidR="00172166" w:rsidRDefault="00172166" w:rsidP="00172166">
      <w:pPr>
        <w:pStyle w:val="NormalWeb"/>
      </w:pPr>
      <w:r>
        <w:t xml:space="preserve">• introducing </w:t>
      </w:r>
      <w:r>
        <w:rPr>
          <w:rStyle w:val="Strong"/>
        </w:rPr>
        <w:t>energy and resource survival</w:t>
      </w:r>
      <w:r>
        <w:t xml:space="preserve"> as an explicit governing constraint</w:t>
      </w:r>
      <w:r>
        <w:br/>
        <w:t xml:space="preserve">• formalizing survival through a </w:t>
      </w:r>
      <w:r>
        <w:rPr>
          <w:rStyle w:val="Strong"/>
        </w:rPr>
        <w:t>thermodynamically consistent equation</w:t>
      </w:r>
      <w:r>
        <w:br/>
        <w:t>• unifying absorption, loss, and biological expression across scales</w:t>
      </w:r>
      <w:r>
        <w:br/>
        <w:t>• reconciling empirical limits without invoking inefficiency</w:t>
      </w:r>
      <w:r>
        <w:br/>
        <w:t>• extending survival principles to visible plant traits</w:t>
      </w:r>
      <w:r>
        <w:br/>
        <w:t>• providing a predictive, falsifiable, and transferable framework</w:t>
      </w:r>
    </w:p>
    <w:p w:rsidR="00172166" w:rsidRDefault="00172166" w:rsidP="00172166">
      <w:pPr>
        <w:pStyle w:val="NormalWeb"/>
      </w:pPr>
      <w:r>
        <w:t>Together, these contributions establish a new systems-level understanding of how energy and matter govern biological expression, grounded in fundamental physics and validated by empirical observation.</w:t>
      </w:r>
    </w:p>
    <w:p w:rsidR="00172166" w:rsidRPr="00DD340E" w:rsidRDefault="00172166" w:rsidP="00172166">
      <w:pPr>
        <w:pStyle w:val="Heading2"/>
        <w:rPr>
          <w:color w:val="000000" w:themeColor="text1"/>
        </w:rPr>
      </w:pPr>
      <w:r w:rsidRPr="00DD340E">
        <w:rPr>
          <w:rStyle w:val="Strong"/>
          <w:b/>
          <w:bCs/>
          <w:color w:val="000000" w:themeColor="text1"/>
        </w:rPr>
        <w:lastRenderedPageBreak/>
        <w:t>B. What Earth’s Present Systems Could NOT Do — and What Your Research Solves</w:t>
      </w:r>
    </w:p>
    <w:p w:rsidR="00172166" w:rsidRPr="0030266E" w:rsidRDefault="00172166" w:rsidP="00172166">
      <w:pPr>
        <w:pStyle w:val="Heading3"/>
        <w:rPr>
          <w:color w:val="FF0000"/>
        </w:rPr>
      </w:pPr>
      <w:r w:rsidRPr="0030266E">
        <w:rPr>
          <w:rStyle w:val="Strong"/>
          <w:b/>
          <w:bCs/>
          <w:color w:val="FF0000"/>
        </w:rPr>
        <w:t>Comparative Scientific Capability Table</w:t>
      </w:r>
    </w:p>
    <w:tbl>
      <w:tblPr>
        <w:tblW w:w="0" w:type="auto"/>
        <w:tblCellSpacing w:w="15" w:type="dxa"/>
        <w:tblCellMar>
          <w:top w:w="15" w:type="dxa"/>
          <w:left w:w="15" w:type="dxa"/>
          <w:bottom w:w="15" w:type="dxa"/>
          <w:right w:w="15" w:type="dxa"/>
        </w:tblCellMar>
        <w:tblLook w:val="04A0"/>
      </w:tblPr>
      <w:tblGrid>
        <w:gridCol w:w="2576"/>
        <w:gridCol w:w="3516"/>
        <w:gridCol w:w="3358"/>
      </w:tblGrid>
      <w:tr w:rsidR="00172166" w:rsidRPr="0030266E" w:rsidTr="00172166">
        <w:trPr>
          <w:tblHeader/>
          <w:tblCellSpacing w:w="15" w:type="dxa"/>
        </w:trPr>
        <w:tc>
          <w:tcPr>
            <w:tcW w:w="0" w:type="auto"/>
            <w:vAlign w:val="center"/>
            <w:hideMark/>
          </w:tcPr>
          <w:p w:rsidR="00172166" w:rsidRPr="0030266E" w:rsidRDefault="00172166">
            <w:pPr>
              <w:jc w:val="center"/>
              <w:rPr>
                <w:b/>
                <w:bCs/>
                <w:color w:val="FF0000"/>
                <w:sz w:val="24"/>
                <w:szCs w:val="24"/>
              </w:rPr>
            </w:pPr>
            <w:r w:rsidRPr="0030266E">
              <w:rPr>
                <w:rStyle w:val="Strong"/>
                <w:color w:val="FF0000"/>
              </w:rPr>
              <w:t>Scientific / Practical Problem</w:t>
            </w:r>
          </w:p>
        </w:tc>
        <w:tc>
          <w:tcPr>
            <w:tcW w:w="0" w:type="auto"/>
            <w:vAlign w:val="center"/>
            <w:hideMark/>
          </w:tcPr>
          <w:p w:rsidR="00172166" w:rsidRPr="0030266E" w:rsidRDefault="00172166">
            <w:pPr>
              <w:jc w:val="center"/>
              <w:rPr>
                <w:b/>
                <w:bCs/>
                <w:color w:val="FF0000"/>
                <w:sz w:val="24"/>
                <w:szCs w:val="24"/>
              </w:rPr>
            </w:pPr>
            <w:r w:rsidRPr="0030266E">
              <w:rPr>
                <w:rStyle w:val="Strong"/>
                <w:color w:val="FF0000"/>
              </w:rPr>
              <w:t>What Existing Earth &amp; Plant Systems Could NOT Do</w:t>
            </w:r>
          </w:p>
        </w:tc>
        <w:tc>
          <w:tcPr>
            <w:tcW w:w="0" w:type="auto"/>
            <w:vAlign w:val="center"/>
            <w:hideMark/>
          </w:tcPr>
          <w:p w:rsidR="00172166" w:rsidRPr="0030266E" w:rsidRDefault="00172166">
            <w:pPr>
              <w:jc w:val="center"/>
              <w:rPr>
                <w:b/>
                <w:bCs/>
                <w:color w:val="FF0000"/>
                <w:sz w:val="24"/>
                <w:szCs w:val="24"/>
              </w:rPr>
            </w:pPr>
            <w:r w:rsidRPr="0030266E">
              <w:rPr>
                <w:rStyle w:val="Strong"/>
                <w:color w:val="FF0000"/>
              </w:rPr>
              <w:t>What This Research (Ψ = AE / (TE + ε)) Can Do</w:t>
            </w:r>
          </w:p>
        </w:tc>
      </w:tr>
      <w:tr w:rsidR="00172166" w:rsidTr="00172166">
        <w:trPr>
          <w:tblCellSpacing w:w="15" w:type="dxa"/>
        </w:trPr>
        <w:tc>
          <w:tcPr>
            <w:tcW w:w="0" w:type="auto"/>
            <w:vAlign w:val="center"/>
            <w:hideMark/>
          </w:tcPr>
          <w:p w:rsidR="00172166" w:rsidRDefault="00172166">
            <w:pPr>
              <w:rPr>
                <w:sz w:val="24"/>
                <w:szCs w:val="24"/>
              </w:rPr>
            </w:pPr>
            <w:r>
              <w:t>Explain universal yield ceilings</w:t>
            </w:r>
          </w:p>
        </w:tc>
        <w:tc>
          <w:tcPr>
            <w:tcW w:w="0" w:type="auto"/>
            <w:vAlign w:val="center"/>
            <w:hideMark/>
          </w:tcPr>
          <w:p w:rsidR="00172166" w:rsidRDefault="00172166">
            <w:pPr>
              <w:rPr>
                <w:sz w:val="24"/>
                <w:szCs w:val="24"/>
              </w:rPr>
            </w:pPr>
            <w:r>
              <w:t>Observed limits treated as inefficiency</w:t>
            </w:r>
          </w:p>
        </w:tc>
        <w:tc>
          <w:tcPr>
            <w:tcW w:w="0" w:type="auto"/>
            <w:vAlign w:val="center"/>
            <w:hideMark/>
          </w:tcPr>
          <w:p w:rsidR="00172166" w:rsidRDefault="00172166">
            <w:pPr>
              <w:rPr>
                <w:sz w:val="24"/>
                <w:szCs w:val="24"/>
              </w:rPr>
            </w:pPr>
            <w:r>
              <w:t>Derives limits from thermodynamic survival</w:t>
            </w:r>
          </w:p>
        </w:tc>
      </w:tr>
      <w:tr w:rsidR="00172166" w:rsidTr="00172166">
        <w:trPr>
          <w:tblCellSpacing w:w="15" w:type="dxa"/>
        </w:trPr>
        <w:tc>
          <w:tcPr>
            <w:tcW w:w="0" w:type="auto"/>
            <w:vAlign w:val="center"/>
            <w:hideMark/>
          </w:tcPr>
          <w:p w:rsidR="00172166" w:rsidRDefault="00172166">
            <w:pPr>
              <w:rPr>
                <w:sz w:val="24"/>
                <w:szCs w:val="24"/>
              </w:rPr>
            </w:pPr>
            <w:r>
              <w:t>Explain 1–3% biomass rule</w:t>
            </w:r>
          </w:p>
        </w:tc>
        <w:tc>
          <w:tcPr>
            <w:tcW w:w="0" w:type="auto"/>
            <w:vAlign w:val="center"/>
            <w:hideMark/>
          </w:tcPr>
          <w:p w:rsidR="00172166" w:rsidRDefault="00172166">
            <w:pPr>
              <w:rPr>
                <w:sz w:val="24"/>
                <w:szCs w:val="24"/>
              </w:rPr>
            </w:pPr>
            <w:r>
              <w:t>Empirical observation only</w:t>
            </w:r>
          </w:p>
        </w:tc>
        <w:tc>
          <w:tcPr>
            <w:tcW w:w="0" w:type="auto"/>
            <w:vAlign w:val="center"/>
            <w:hideMark/>
          </w:tcPr>
          <w:p w:rsidR="00172166" w:rsidRDefault="00172166">
            <w:pPr>
              <w:rPr>
                <w:sz w:val="24"/>
                <w:szCs w:val="24"/>
              </w:rPr>
            </w:pPr>
            <w:r>
              <w:t>Predicts it from compounded survival losses</w:t>
            </w:r>
          </w:p>
        </w:tc>
      </w:tr>
      <w:tr w:rsidR="00172166" w:rsidTr="00172166">
        <w:trPr>
          <w:tblCellSpacing w:w="15" w:type="dxa"/>
        </w:trPr>
        <w:tc>
          <w:tcPr>
            <w:tcW w:w="0" w:type="auto"/>
            <w:vAlign w:val="center"/>
            <w:hideMark/>
          </w:tcPr>
          <w:p w:rsidR="00172166" w:rsidRDefault="00172166">
            <w:pPr>
              <w:rPr>
                <w:sz w:val="24"/>
                <w:szCs w:val="24"/>
              </w:rPr>
            </w:pPr>
            <w:r>
              <w:t>Explain color fading under stress</w:t>
            </w:r>
          </w:p>
        </w:tc>
        <w:tc>
          <w:tcPr>
            <w:tcW w:w="0" w:type="auto"/>
            <w:vAlign w:val="center"/>
            <w:hideMark/>
          </w:tcPr>
          <w:p w:rsidR="00172166" w:rsidRDefault="00172166">
            <w:pPr>
              <w:rPr>
                <w:sz w:val="24"/>
                <w:szCs w:val="24"/>
              </w:rPr>
            </w:pPr>
            <w:r>
              <w:t>Descriptive (stress, deficiency)</w:t>
            </w:r>
          </w:p>
        </w:tc>
        <w:tc>
          <w:tcPr>
            <w:tcW w:w="0" w:type="auto"/>
            <w:vAlign w:val="center"/>
            <w:hideMark/>
          </w:tcPr>
          <w:p w:rsidR="00172166" w:rsidRDefault="00172166">
            <w:pPr>
              <w:rPr>
                <w:sz w:val="24"/>
                <w:szCs w:val="24"/>
              </w:rPr>
            </w:pPr>
            <w:r>
              <w:t>Quantifies loss-driven pigment survival failure</w:t>
            </w:r>
          </w:p>
        </w:tc>
      </w:tr>
      <w:tr w:rsidR="00172166" w:rsidTr="00172166">
        <w:trPr>
          <w:tblCellSpacing w:w="15" w:type="dxa"/>
        </w:trPr>
        <w:tc>
          <w:tcPr>
            <w:tcW w:w="0" w:type="auto"/>
            <w:vAlign w:val="center"/>
            <w:hideMark/>
          </w:tcPr>
          <w:p w:rsidR="00172166" w:rsidRDefault="00172166">
            <w:pPr>
              <w:rPr>
                <w:sz w:val="24"/>
                <w:szCs w:val="24"/>
              </w:rPr>
            </w:pPr>
            <w:r>
              <w:t xml:space="preserve">Separate absorption </w:t>
            </w:r>
            <w:proofErr w:type="spellStart"/>
            <w:r>
              <w:t>vs</w:t>
            </w:r>
            <w:proofErr w:type="spellEnd"/>
            <w:r>
              <w:t xml:space="preserve"> stress</w:t>
            </w:r>
          </w:p>
        </w:tc>
        <w:tc>
          <w:tcPr>
            <w:tcW w:w="0" w:type="auto"/>
            <w:vAlign w:val="center"/>
            <w:hideMark/>
          </w:tcPr>
          <w:p w:rsidR="00172166" w:rsidRDefault="00172166">
            <w:pPr>
              <w:rPr>
                <w:sz w:val="24"/>
                <w:szCs w:val="24"/>
              </w:rPr>
            </w:pPr>
            <w:r>
              <w:t>Often conflated</w:t>
            </w:r>
          </w:p>
        </w:tc>
        <w:tc>
          <w:tcPr>
            <w:tcW w:w="0" w:type="auto"/>
            <w:vAlign w:val="center"/>
            <w:hideMark/>
          </w:tcPr>
          <w:p w:rsidR="00172166" w:rsidRDefault="00172166">
            <w:pPr>
              <w:rPr>
                <w:sz w:val="24"/>
                <w:szCs w:val="24"/>
              </w:rPr>
            </w:pPr>
            <w:r>
              <w:t xml:space="preserve">Diagnoses absorption-limited </w:t>
            </w:r>
            <w:proofErr w:type="spellStart"/>
            <w:r>
              <w:t>vs</w:t>
            </w:r>
            <w:proofErr w:type="spellEnd"/>
            <w:r>
              <w:t xml:space="preserve"> loss-limited states</w:t>
            </w:r>
          </w:p>
        </w:tc>
      </w:tr>
      <w:tr w:rsidR="00172166" w:rsidTr="00172166">
        <w:trPr>
          <w:tblCellSpacing w:w="15" w:type="dxa"/>
        </w:trPr>
        <w:tc>
          <w:tcPr>
            <w:tcW w:w="0" w:type="auto"/>
            <w:vAlign w:val="center"/>
            <w:hideMark/>
          </w:tcPr>
          <w:p w:rsidR="00172166" w:rsidRDefault="00172166">
            <w:pPr>
              <w:rPr>
                <w:sz w:val="24"/>
                <w:szCs w:val="24"/>
              </w:rPr>
            </w:pPr>
            <w:r>
              <w:t>Explain why more light doesn’t help</w:t>
            </w:r>
          </w:p>
        </w:tc>
        <w:tc>
          <w:tcPr>
            <w:tcW w:w="0" w:type="auto"/>
            <w:vAlign w:val="center"/>
            <w:hideMark/>
          </w:tcPr>
          <w:p w:rsidR="00172166" w:rsidRDefault="00172166">
            <w:pPr>
              <w:rPr>
                <w:sz w:val="24"/>
                <w:szCs w:val="24"/>
              </w:rPr>
            </w:pPr>
            <w:r>
              <w:t>Saturation observed, not explained</w:t>
            </w:r>
          </w:p>
        </w:tc>
        <w:tc>
          <w:tcPr>
            <w:tcW w:w="0" w:type="auto"/>
            <w:vAlign w:val="center"/>
            <w:hideMark/>
          </w:tcPr>
          <w:p w:rsidR="00172166" w:rsidRDefault="00172166">
            <w:pPr>
              <w:rPr>
                <w:sz w:val="24"/>
                <w:szCs w:val="24"/>
              </w:rPr>
            </w:pPr>
            <w:r>
              <w:t>Shows survival plateau mathematically</w:t>
            </w:r>
          </w:p>
        </w:tc>
      </w:tr>
      <w:tr w:rsidR="00172166" w:rsidTr="00172166">
        <w:trPr>
          <w:tblCellSpacing w:w="15" w:type="dxa"/>
        </w:trPr>
        <w:tc>
          <w:tcPr>
            <w:tcW w:w="0" w:type="auto"/>
            <w:vAlign w:val="center"/>
            <w:hideMark/>
          </w:tcPr>
          <w:p w:rsidR="00172166" w:rsidRDefault="00172166">
            <w:pPr>
              <w:rPr>
                <w:sz w:val="24"/>
                <w:szCs w:val="24"/>
              </w:rPr>
            </w:pPr>
            <w:r>
              <w:t>Link transpiration to color loss</w:t>
            </w:r>
          </w:p>
        </w:tc>
        <w:tc>
          <w:tcPr>
            <w:tcW w:w="0" w:type="auto"/>
            <w:vAlign w:val="center"/>
            <w:hideMark/>
          </w:tcPr>
          <w:p w:rsidR="00172166" w:rsidRDefault="00172166">
            <w:pPr>
              <w:rPr>
                <w:sz w:val="24"/>
                <w:szCs w:val="24"/>
              </w:rPr>
            </w:pPr>
            <w:r>
              <w:t>Correlation only</w:t>
            </w:r>
          </w:p>
        </w:tc>
        <w:tc>
          <w:tcPr>
            <w:tcW w:w="0" w:type="auto"/>
            <w:vAlign w:val="center"/>
            <w:hideMark/>
          </w:tcPr>
          <w:p w:rsidR="00172166" w:rsidRDefault="00172166">
            <w:pPr>
              <w:rPr>
                <w:sz w:val="24"/>
                <w:szCs w:val="24"/>
              </w:rPr>
            </w:pPr>
            <w:r>
              <w:t>Mechanistic survival-loss explanation</w:t>
            </w:r>
          </w:p>
        </w:tc>
      </w:tr>
      <w:tr w:rsidR="00172166" w:rsidTr="00172166">
        <w:trPr>
          <w:tblCellSpacing w:w="15" w:type="dxa"/>
        </w:trPr>
        <w:tc>
          <w:tcPr>
            <w:tcW w:w="0" w:type="auto"/>
            <w:vAlign w:val="center"/>
            <w:hideMark/>
          </w:tcPr>
          <w:p w:rsidR="00172166" w:rsidRDefault="00172166">
            <w:pPr>
              <w:rPr>
                <w:sz w:val="24"/>
                <w:szCs w:val="24"/>
              </w:rPr>
            </w:pPr>
            <w:r>
              <w:t>Predict pigment stability</w:t>
            </w:r>
          </w:p>
        </w:tc>
        <w:tc>
          <w:tcPr>
            <w:tcW w:w="0" w:type="auto"/>
            <w:vAlign w:val="center"/>
            <w:hideMark/>
          </w:tcPr>
          <w:p w:rsidR="00172166" w:rsidRDefault="00172166">
            <w:pPr>
              <w:rPr>
                <w:sz w:val="24"/>
                <w:szCs w:val="24"/>
              </w:rPr>
            </w:pPr>
            <w:r>
              <w:t>Case-specific rules</w:t>
            </w:r>
          </w:p>
        </w:tc>
        <w:tc>
          <w:tcPr>
            <w:tcW w:w="0" w:type="auto"/>
            <w:vAlign w:val="center"/>
            <w:hideMark/>
          </w:tcPr>
          <w:p w:rsidR="00172166" w:rsidRDefault="00172166">
            <w:pPr>
              <w:rPr>
                <w:sz w:val="24"/>
                <w:szCs w:val="24"/>
              </w:rPr>
            </w:pPr>
            <w:r>
              <w:t>Unified survival criterion across species</w:t>
            </w:r>
          </w:p>
        </w:tc>
      </w:tr>
      <w:tr w:rsidR="00172166" w:rsidTr="00172166">
        <w:trPr>
          <w:tblCellSpacing w:w="15" w:type="dxa"/>
        </w:trPr>
        <w:tc>
          <w:tcPr>
            <w:tcW w:w="0" w:type="auto"/>
            <w:vAlign w:val="center"/>
            <w:hideMark/>
          </w:tcPr>
          <w:p w:rsidR="00172166" w:rsidRDefault="00172166">
            <w:pPr>
              <w:rPr>
                <w:sz w:val="24"/>
                <w:szCs w:val="24"/>
              </w:rPr>
            </w:pPr>
            <w:r>
              <w:t>Unify growth and color</w:t>
            </w:r>
          </w:p>
        </w:tc>
        <w:tc>
          <w:tcPr>
            <w:tcW w:w="0" w:type="auto"/>
            <w:vAlign w:val="center"/>
            <w:hideMark/>
          </w:tcPr>
          <w:p w:rsidR="00172166" w:rsidRDefault="00172166">
            <w:pPr>
              <w:rPr>
                <w:sz w:val="24"/>
                <w:szCs w:val="24"/>
              </w:rPr>
            </w:pPr>
            <w:r>
              <w:t>Treated separately</w:t>
            </w:r>
          </w:p>
        </w:tc>
        <w:tc>
          <w:tcPr>
            <w:tcW w:w="0" w:type="auto"/>
            <w:vAlign w:val="center"/>
            <w:hideMark/>
          </w:tcPr>
          <w:p w:rsidR="00172166" w:rsidRDefault="00172166">
            <w:pPr>
              <w:rPr>
                <w:sz w:val="24"/>
                <w:szCs w:val="24"/>
              </w:rPr>
            </w:pPr>
            <w:r>
              <w:t>Same survival law governs both</w:t>
            </w:r>
          </w:p>
        </w:tc>
      </w:tr>
      <w:tr w:rsidR="00172166" w:rsidTr="00172166">
        <w:trPr>
          <w:tblCellSpacing w:w="15" w:type="dxa"/>
        </w:trPr>
        <w:tc>
          <w:tcPr>
            <w:tcW w:w="0" w:type="auto"/>
            <w:vAlign w:val="center"/>
            <w:hideMark/>
          </w:tcPr>
          <w:p w:rsidR="00172166" w:rsidRDefault="00172166">
            <w:pPr>
              <w:rPr>
                <w:sz w:val="24"/>
                <w:szCs w:val="24"/>
              </w:rPr>
            </w:pPr>
            <w:r>
              <w:t>Track energy fate explicitly</w:t>
            </w:r>
          </w:p>
        </w:tc>
        <w:tc>
          <w:tcPr>
            <w:tcW w:w="0" w:type="auto"/>
            <w:vAlign w:val="center"/>
            <w:hideMark/>
          </w:tcPr>
          <w:p w:rsidR="00172166" w:rsidRDefault="00172166">
            <w:pPr>
              <w:rPr>
                <w:sz w:val="24"/>
                <w:szCs w:val="24"/>
              </w:rPr>
            </w:pPr>
            <w:r>
              <w:t>Energy losses lumped</w:t>
            </w:r>
          </w:p>
        </w:tc>
        <w:tc>
          <w:tcPr>
            <w:tcW w:w="0" w:type="auto"/>
            <w:vAlign w:val="center"/>
            <w:hideMark/>
          </w:tcPr>
          <w:p w:rsidR="00172166" w:rsidRDefault="00172166">
            <w:pPr>
              <w:rPr>
                <w:sz w:val="24"/>
                <w:szCs w:val="24"/>
              </w:rPr>
            </w:pPr>
            <w:r>
              <w:t>Explicit AE, TE, ε accounting</w:t>
            </w:r>
          </w:p>
        </w:tc>
      </w:tr>
      <w:tr w:rsidR="00172166" w:rsidTr="00172166">
        <w:trPr>
          <w:tblCellSpacing w:w="15" w:type="dxa"/>
        </w:trPr>
        <w:tc>
          <w:tcPr>
            <w:tcW w:w="0" w:type="auto"/>
            <w:vAlign w:val="center"/>
            <w:hideMark/>
          </w:tcPr>
          <w:p w:rsidR="00172166" w:rsidRDefault="00172166">
            <w:pPr>
              <w:rPr>
                <w:sz w:val="24"/>
                <w:szCs w:val="24"/>
              </w:rPr>
            </w:pPr>
            <w:r>
              <w:t>Thermodynamic rigor</w:t>
            </w:r>
          </w:p>
        </w:tc>
        <w:tc>
          <w:tcPr>
            <w:tcW w:w="0" w:type="auto"/>
            <w:vAlign w:val="center"/>
            <w:hideMark/>
          </w:tcPr>
          <w:p w:rsidR="00172166" w:rsidRDefault="00172166">
            <w:pPr>
              <w:rPr>
                <w:sz w:val="24"/>
                <w:szCs w:val="24"/>
              </w:rPr>
            </w:pPr>
            <w:r>
              <w:t>Often implicit</w:t>
            </w:r>
          </w:p>
        </w:tc>
        <w:tc>
          <w:tcPr>
            <w:tcW w:w="0" w:type="auto"/>
            <w:vAlign w:val="center"/>
            <w:hideMark/>
          </w:tcPr>
          <w:p w:rsidR="00172166" w:rsidRDefault="00172166">
            <w:pPr>
              <w:rPr>
                <w:sz w:val="24"/>
                <w:szCs w:val="24"/>
              </w:rPr>
            </w:pPr>
            <w:r>
              <w:t>Fully second-law compliant</w:t>
            </w:r>
          </w:p>
        </w:tc>
      </w:tr>
      <w:tr w:rsidR="00172166" w:rsidTr="00172166">
        <w:trPr>
          <w:tblCellSpacing w:w="15" w:type="dxa"/>
        </w:trPr>
        <w:tc>
          <w:tcPr>
            <w:tcW w:w="0" w:type="auto"/>
            <w:vAlign w:val="center"/>
            <w:hideMark/>
          </w:tcPr>
          <w:p w:rsidR="00172166" w:rsidRDefault="00172166">
            <w:pPr>
              <w:rPr>
                <w:sz w:val="24"/>
                <w:szCs w:val="24"/>
              </w:rPr>
            </w:pPr>
            <w:r>
              <w:t>Explain stress reddening</w:t>
            </w:r>
          </w:p>
        </w:tc>
        <w:tc>
          <w:tcPr>
            <w:tcW w:w="0" w:type="auto"/>
            <w:vAlign w:val="center"/>
            <w:hideMark/>
          </w:tcPr>
          <w:p w:rsidR="00172166" w:rsidRDefault="00172166">
            <w:pPr>
              <w:rPr>
                <w:sz w:val="24"/>
                <w:szCs w:val="24"/>
              </w:rPr>
            </w:pPr>
            <w:r>
              <w:t>Qualitative</w:t>
            </w:r>
          </w:p>
        </w:tc>
        <w:tc>
          <w:tcPr>
            <w:tcW w:w="0" w:type="auto"/>
            <w:vAlign w:val="center"/>
            <w:hideMark/>
          </w:tcPr>
          <w:p w:rsidR="00172166" w:rsidRDefault="00172166">
            <w:pPr>
              <w:rPr>
                <w:sz w:val="24"/>
                <w:szCs w:val="24"/>
              </w:rPr>
            </w:pPr>
            <w:r>
              <w:t>Survival-based redistribution logic</w:t>
            </w:r>
          </w:p>
        </w:tc>
      </w:tr>
      <w:tr w:rsidR="00172166" w:rsidTr="00172166">
        <w:trPr>
          <w:tblCellSpacing w:w="15" w:type="dxa"/>
        </w:trPr>
        <w:tc>
          <w:tcPr>
            <w:tcW w:w="0" w:type="auto"/>
            <w:vAlign w:val="center"/>
            <w:hideMark/>
          </w:tcPr>
          <w:p w:rsidR="00172166" w:rsidRDefault="00172166">
            <w:pPr>
              <w:rPr>
                <w:sz w:val="24"/>
                <w:szCs w:val="24"/>
              </w:rPr>
            </w:pPr>
            <w:r>
              <w:t>Predict recovery after irrigation</w:t>
            </w:r>
          </w:p>
        </w:tc>
        <w:tc>
          <w:tcPr>
            <w:tcW w:w="0" w:type="auto"/>
            <w:vAlign w:val="center"/>
            <w:hideMark/>
          </w:tcPr>
          <w:p w:rsidR="00172166" w:rsidRDefault="00172166">
            <w:pPr>
              <w:rPr>
                <w:sz w:val="24"/>
                <w:szCs w:val="24"/>
              </w:rPr>
            </w:pPr>
            <w:r>
              <w:t>Empirical</w:t>
            </w:r>
          </w:p>
        </w:tc>
        <w:tc>
          <w:tcPr>
            <w:tcW w:w="0" w:type="auto"/>
            <w:vAlign w:val="center"/>
            <w:hideMark/>
          </w:tcPr>
          <w:p w:rsidR="00172166" w:rsidRDefault="00172166">
            <w:pPr>
              <w:rPr>
                <w:sz w:val="24"/>
                <w:szCs w:val="24"/>
              </w:rPr>
            </w:pPr>
            <w:r>
              <w:t>Explained as Ψ restoration</w:t>
            </w:r>
          </w:p>
        </w:tc>
      </w:tr>
      <w:tr w:rsidR="00172166" w:rsidTr="00172166">
        <w:trPr>
          <w:tblCellSpacing w:w="15" w:type="dxa"/>
        </w:trPr>
        <w:tc>
          <w:tcPr>
            <w:tcW w:w="0" w:type="auto"/>
            <w:vAlign w:val="center"/>
            <w:hideMark/>
          </w:tcPr>
          <w:p w:rsidR="00172166" w:rsidRDefault="00172166">
            <w:pPr>
              <w:rPr>
                <w:sz w:val="24"/>
                <w:szCs w:val="24"/>
              </w:rPr>
            </w:pPr>
            <w:r>
              <w:t>Guide breeding targets</w:t>
            </w:r>
          </w:p>
        </w:tc>
        <w:tc>
          <w:tcPr>
            <w:tcW w:w="0" w:type="auto"/>
            <w:vAlign w:val="center"/>
            <w:hideMark/>
          </w:tcPr>
          <w:p w:rsidR="00172166" w:rsidRDefault="00172166">
            <w:pPr>
              <w:rPr>
                <w:sz w:val="24"/>
                <w:szCs w:val="24"/>
              </w:rPr>
            </w:pPr>
            <w:r>
              <w:t>Focus on enzymes</w:t>
            </w:r>
          </w:p>
        </w:tc>
        <w:tc>
          <w:tcPr>
            <w:tcW w:w="0" w:type="auto"/>
            <w:vAlign w:val="center"/>
            <w:hideMark/>
          </w:tcPr>
          <w:p w:rsidR="00172166" w:rsidRDefault="00172166">
            <w:pPr>
              <w:rPr>
                <w:sz w:val="24"/>
                <w:szCs w:val="24"/>
              </w:rPr>
            </w:pPr>
            <w:r>
              <w:t>Targets loss reduction &amp; survival stability</w:t>
            </w:r>
          </w:p>
        </w:tc>
      </w:tr>
      <w:tr w:rsidR="00172166" w:rsidTr="00172166">
        <w:trPr>
          <w:tblCellSpacing w:w="15" w:type="dxa"/>
        </w:trPr>
        <w:tc>
          <w:tcPr>
            <w:tcW w:w="0" w:type="auto"/>
            <w:vAlign w:val="center"/>
            <w:hideMark/>
          </w:tcPr>
          <w:p w:rsidR="00172166" w:rsidRDefault="00172166">
            <w:pPr>
              <w:rPr>
                <w:sz w:val="24"/>
                <w:szCs w:val="24"/>
              </w:rPr>
            </w:pPr>
            <w:r>
              <w:t xml:space="preserve">Interpret remote sensing </w:t>
            </w:r>
            <w:r>
              <w:lastRenderedPageBreak/>
              <w:t>reliably</w:t>
            </w:r>
          </w:p>
        </w:tc>
        <w:tc>
          <w:tcPr>
            <w:tcW w:w="0" w:type="auto"/>
            <w:vAlign w:val="center"/>
            <w:hideMark/>
          </w:tcPr>
          <w:p w:rsidR="00172166" w:rsidRDefault="00172166">
            <w:pPr>
              <w:rPr>
                <w:sz w:val="24"/>
                <w:szCs w:val="24"/>
              </w:rPr>
            </w:pPr>
            <w:r>
              <w:lastRenderedPageBreak/>
              <w:t>Phenomenological</w:t>
            </w:r>
          </w:p>
        </w:tc>
        <w:tc>
          <w:tcPr>
            <w:tcW w:w="0" w:type="auto"/>
            <w:vAlign w:val="center"/>
            <w:hideMark/>
          </w:tcPr>
          <w:p w:rsidR="00172166" w:rsidRDefault="00172166">
            <w:pPr>
              <w:rPr>
                <w:sz w:val="24"/>
                <w:szCs w:val="24"/>
              </w:rPr>
            </w:pPr>
            <w:r>
              <w:t xml:space="preserve">Physically interpretable survival </w:t>
            </w:r>
            <w:r>
              <w:lastRenderedPageBreak/>
              <w:t>signal</w:t>
            </w:r>
          </w:p>
        </w:tc>
      </w:tr>
      <w:tr w:rsidR="00172166" w:rsidTr="00172166">
        <w:trPr>
          <w:tblCellSpacing w:w="15" w:type="dxa"/>
        </w:trPr>
        <w:tc>
          <w:tcPr>
            <w:tcW w:w="0" w:type="auto"/>
            <w:vAlign w:val="center"/>
            <w:hideMark/>
          </w:tcPr>
          <w:p w:rsidR="00172166" w:rsidRDefault="00172166">
            <w:pPr>
              <w:rPr>
                <w:sz w:val="24"/>
                <w:szCs w:val="24"/>
              </w:rPr>
            </w:pPr>
            <w:r>
              <w:lastRenderedPageBreak/>
              <w:t>Scale from leaf to ecosystem</w:t>
            </w:r>
          </w:p>
        </w:tc>
        <w:tc>
          <w:tcPr>
            <w:tcW w:w="0" w:type="auto"/>
            <w:vAlign w:val="center"/>
            <w:hideMark/>
          </w:tcPr>
          <w:p w:rsidR="00172166" w:rsidRDefault="00172166">
            <w:pPr>
              <w:rPr>
                <w:sz w:val="24"/>
                <w:szCs w:val="24"/>
              </w:rPr>
            </w:pPr>
            <w:r>
              <w:t>Different models</w:t>
            </w:r>
          </w:p>
        </w:tc>
        <w:tc>
          <w:tcPr>
            <w:tcW w:w="0" w:type="auto"/>
            <w:vAlign w:val="center"/>
            <w:hideMark/>
          </w:tcPr>
          <w:p w:rsidR="00172166" w:rsidRDefault="00172166">
            <w:pPr>
              <w:rPr>
                <w:sz w:val="24"/>
                <w:szCs w:val="24"/>
              </w:rPr>
            </w:pPr>
            <w:r>
              <w:t>One law across all scales</w:t>
            </w:r>
          </w:p>
        </w:tc>
      </w:tr>
      <w:tr w:rsidR="00172166" w:rsidTr="00172166">
        <w:trPr>
          <w:tblCellSpacing w:w="15" w:type="dxa"/>
        </w:trPr>
        <w:tc>
          <w:tcPr>
            <w:tcW w:w="0" w:type="auto"/>
            <w:vAlign w:val="center"/>
            <w:hideMark/>
          </w:tcPr>
          <w:p w:rsidR="00172166" w:rsidRDefault="00172166">
            <w:pPr>
              <w:rPr>
                <w:sz w:val="24"/>
                <w:szCs w:val="24"/>
              </w:rPr>
            </w:pPr>
            <w:r>
              <w:t>Generalize beyond plants</w:t>
            </w:r>
          </w:p>
        </w:tc>
        <w:tc>
          <w:tcPr>
            <w:tcW w:w="0" w:type="auto"/>
            <w:vAlign w:val="center"/>
            <w:hideMark/>
          </w:tcPr>
          <w:p w:rsidR="00172166" w:rsidRDefault="00172166">
            <w:pPr>
              <w:rPr>
                <w:sz w:val="24"/>
                <w:szCs w:val="24"/>
              </w:rPr>
            </w:pPr>
            <w:r>
              <w:t>Not transferable</w:t>
            </w:r>
          </w:p>
        </w:tc>
        <w:tc>
          <w:tcPr>
            <w:tcW w:w="0" w:type="auto"/>
            <w:vAlign w:val="center"/>
            <w:hideMark/>
          </w:tcPr>
          <w:p w:rsidR="00172166" w:rsidRDefault="00172166">
            <w:pPr>
              <w:rPr>
                <w:sz w:val="24"/>
                <w:szCs w:val="24"/>
              </w:rPr>
            </w:pPr>
            <w:r>
              <w:t>Applies to all living systems</w:t>
            </w:r>
          </w:p>
        </w:tc>
      </w:tr>
      <w:tr w:rsidR="00172166" w:rsidTr="00172166">
        <w:trPr>
          <w:tblCellSpacing w:w="15" w:type="dxa"/>
        </w:trPr>
        <w:tc>
          <w:tcPr>
            <w:tcW w:w="0" w:type="auto"/>
            <w:vAlign w:val="center"/>
            <w:hideMark/>
          </w:tcPr>
          <w:p w:rsidR="00172166" w:rsidRDefault="00172166">
            <w:pPr>
              <w:rPr>
                <w:sz w:val="24"/>
                <w:szCs w:val="24"/>
              </w:rPr>
            </w:pPr>
            <w:r>
              <w:t>Reduce model uncertainty</w:t>
            </w:r>
          </w:p>
        </w:tc>
        <w:tc>
          <w:tcPr>
            <w:tcW w:w="0" w:type="auto"/>
            <w:vAlign w:val="center"/>
            <w:hideMark/>
          </w:tcPr>
          <w:p w:rsidR="00172166" w:rsidRDefault="00172166">
            <w:pPr>
              <w:rPr>
                <w:sz w:val="24"/>
                <w:szCs w:val="24"/>
              </w:rPr>
            </w:pPr>
            <w:r>
              <w:t>Many empirical parameters</w:t>
            </w:r>
          </w:p>
        </w:tc>
        <w:tc>
          <w:tcPr>
            <w:tcW w:w="0" w:type="auto"/>
            <w:vAlign w:val="center"/>
            <w:hideMark/>
          </w:tcPr>
          <w:p w:rsidR="00172166" w:rsidRDefault="00172166">
            <w:pPr>
              <w:rPr>
                <w:sz w:val="24"/>
                <w:szCs w:val="24"/>
              </w:rPr>
            </w:pPr>
            <w:r>
              <w:t>Fewer, physically constrained terms</w:t>
            </w:r>
          </w:p>
        </w:tc>
      </w:tr>
      <w:tr w:rsidR="00172166" w:rsidTr="00172166">
        <w:trPr>
          <w:tblCellSpacing w:w="15" w:type="dxa"/>
        </w:trPr>
        <w:tc>
          <w:tcPr>
            <w:tcW w:w="0" w:type="auto"/>
            <w:vAlign w:val="center"/>
            <w:hideMark/>
          </w:tcPr>
          <w:p w:rsidR="00172166" w:rsidRDefault="00172166">
            <w:pPr>
              <w:rPr>
                <w:sz w:val="24"/>
                <w:szCs w:val="24"/>
              </w:rPr>
            </w:pPr>
            <w:r>
              <w:t>Increase effective productivity</w:t>
            </w:r>
          </w:p>
        </w:tc>
        <w:tc>
          <w:tcPr>
            <w:tcW w:w="0" w:type="auto"/>
            <w:vAlign w:val="center"/>
            <w:hideMark/>
          </w:tcPr>
          <w:p w:rsidR="00172166" w:rsidRDefault="00172166">
            <w:pPr>
              <w:rPr>
                <w:sz w:val="24"/>
                <w:szCs w:val="24"/>
              </w:rPr>
            </w:pPr>
            <w:r>
              <w:t>Trial-and-error</w:t>
            </w:r>
          </w:p>
        </w:tc>
        <w:tc>
          <w:tcPr>
            <w:tcW w:w="0" w:type="auto"/>
            <w:vAlign w:val="center"/>
            <w:hideMark/>
          </w:tcPr>
          <w:p w:rsidR="00172166" w:rsidRDefault="00172166">
            <w:pPr>
              <w:rPr>
                <w:sz w:val="24"/>
                <w:szCs w:val="24"/>
              </w:rPr>
            </w:pPr>
            <w:r>
              <w:t>Identify loss-reduction leverage points</w:t>
            </w:r>
          </w:p>
        </w:tc>
      </w:tr>
    </w:tbl>
    <w:p w:rsidR="00172166" w:rsidRDefault="00172166" w:rsidP="00172166"/>
    <w:p w:rsidR="00172166" w:rsidRPr="00DD340E" w:rsidRDefault="00172166" w:rsidP="00172166">
      <w:pPr>
        <w:pStyle w:val="Heading2"/>
        <w:rPr>
          <w:color w:val="000000" w:themeColor="text1"/>
        </w:rPr>
      </w:pPr>
      <w:r w:rsidRPr="00DD340E">
        <w:rPr>
          <w:rStyle w:val="Strong"/>
          <w:b/>
          <w:bCs/>
          <w:color w:val="000000" w:themeColor="text1"/>
        </w:rPr>
        <w:t>C. What “Ef</w:t>
      </w:r>
      <w:r w:rsidR="00DD340E" w:rsidRPr="00DD340E">
        <w:rPr>
          <w:rStyle w:val="Strong"/>
          <w:b/>
          <w:bCs/>
          <w:color w:val="000000" w:themeColor="text1"/>
        </w:rPr>
        <w:t xml:space="preserve">ficiency Increase” Means </w:t>
      </w:r>
      <w:proofErr w:type="gramStart"/>
      <w:r w:rsidR="00DD340E" w:rsidRPr="00DD340E">
        <w:rPr>
          <w:rStyle w:val="Strong"/>
          <w:b/>
          <w:bCs/>
          <w:color w:val="000000" w:themeColor="text1"/>
        </w:rPr>
        <w:t xml:space="preserve">in </w:t>
      </w:r>
      <w:r w:rsidRPr="00DD340E">
        <w:rPr>
          <w:rStyle w:val="Strong"/>
          <w:b/>
          <w:bCs/>
          <w:color w:val="000000" w:themeColor="text1"/>
        </w:rPr>
        <w:t xml:space="preserve"> Research</w:t>
      </w:r>
      <w:proofErr w:type="gramEnd"/>
    </w:p>
    <w:p w:rsidR="00172166" w:rsidRDefault="00DD340E" w:rsidP="00172166">
      <w:pPr>
        <w:pStyle w:val="NormalWeb"/>
      </w:pPr>
      <w:r>
        <w:t>This</w:t>
      </w:r>
      <w:r w:rsidR="00172166">
        <w:t xml:space="preserve"> work </w:t>
      </w:r>
      <w:r w:rsidR="00172166">
        <w:rPr>
          <w:rStyle w:val="Strong"/>
        </w:rPr>
        <w:t>does NOT promise unrealistic gains</w:t>
      </w:r>
      <w:r w:rsidR="00172166">
        <w:t xml:space="preserve"> — which is exactly why it is credible.</w:t>
      </w:r>
    </w:p>
    <w:p w:rsidR="00172166" w:rsidRPr="00DD340E" w:rsidRDefault="00172166" w:rsidP="00172166">
      <w:pPr>
        <w:pStyle w:val="Heading3"/>
        <w:rPr>
          <w:color w:val="000000" w:themeColor="text1"/>
        </w:rPr>
      </w:pPr>
      <w:r w:rsidRPr="00DD340E">
        <w:rPr>
          <w:rStyle w:val="Strong"/>
          <w:b/>
          <w:bCs/>
          <w:color w:val="000000" w:themeColor="text1"/>
        </w:rPr>
        <w:t>What Can Be Improved</w:t>
      </w:r>
    </w:p>
    <w:p w:rsidR="00172166" w:rsidRDefault="00172166" w:rsidP="00172166">
      <w:pPr>
        <w:pStyle w:val="NormalWeb"/>
      </w:pPr>
      <w:r>
        <w:t xml:space="preserve"> Yield </w:t>
      </w:r>
      <w:r>
        <w:rPr>
          <w:rStyle w:val="Strong"/>
        </w:rPr>
        <w:t>stability</w:t>
      </w:r>
      <w:r>
        <w:t xml:space="preserve"> under stress</w:t>
      </w:r>
      <w:r>
        <w:br/>
        <w:t xml:space="preserve"> Resource-use efficiency (water, nutrients)</w:t>
      </w:r>
      <w:r>
        <w:br/>
        <w:t xml:space="preserve"> Predictability of crop &amp; ecosystem models</w:t>
      </w:r>
      <w:r>
        <w:br/>
        <w:t xml:space="preserve"> </w:t>
      </w:r>
      <w:proofErr w:type="gramStart"/>
      <w:r>
        <w:t>Early</w:t>
      </w:r>
      <w:proofErr w:type="gramEnd"/>
      <w:r>
        <w:t xml:space="preserve"> stress diagnostics</w:t>
      </w:r>
      <w:r>
        <w:br/>
        <w:t xml:space="preserve"> Recovery speed after stress</w:t>
      </w:r>
    </w:p>
    <w:p w:rsidR="00172166" w:rsidRPr="00DD340E" w:rsidRDefault="00172166" w:rsidP="00172166">
      <w:pPr>
        <w:pStyle w:val="Heading3"/>
        <w:rPr>
          <w:color w:val="000000" w:themeColor="text1"/>
        </w:rPr>
      </w:pPr>
      <w:r w:rsidRPr="00DD340E">
        <w:rPr>
          <w:rStyle w:val="Strong"/>
          <w:b/>
          <w:bCs/>
          <w:color w:val="000000" w:themeColor="text1"/>
        </w:rPr>
        <w:t>What Was Impossible Before</w:t>
      </w:r>
    </w:p>
    <w:p w:rsidR="00172166" w:rsidRDefault="00172166" w:rsidP="00172166">
      <w:pPr>
        <w:pStyle w:val="NormalWeb"/>
      </w:pPr>
      <w:r>
        <w:t xml:space="preserve"> Explaining limits physically</w:t>
      </w:r>
      <w:r>
        <w:br/>
        <w:t xml:space="preserve"> Predicting when light stops helping</w:t>
      </w:r>
      <w:r>
        <w:br/>
        <w:t xml:space="preserve"> Linking color, growth, and energy in one law</w:t>
      </w:r>
      <w:r>
        <w:br/>
        <w:t xml:space="preserve"> Distinguishing synthesis failure from survival failure</w:t>
      </w:r>
    </w:p>
    <w:p w:rsidR="00172166" w:rsidRDefault="00172166" w:rsidP="00172166"/>
    <w:p w:rsidR="00172166" w:rsidRPr="00DD340E" w:rsidRDefault="00172166" w:rsidP="00172166">
      <w:pPr>
        <w:pStyle w:val="NormalWeb"/>
        <w:rPr>
          <w:i/>
        </w:rPr>
      </w:pPr>
      <w:r w:rsidRPr="00DD340E">
        <w:rPr>
          <w:rStyle w:val="Emphasis"/>
          <w:i w:val="0"/>
        </w:rPr>
        <w:t>This study shows that plant growth and color expression are governed by the survival of absorbed energy and resources against transport dissipation and entropy production, establishing a unified thermodynamic law that explains long-standing limits of productivity and pigmentation.</w:t>
      </w:r>
    </w:p>
    <w:p w:rsidR="00DD340E" w:rsidRPr="00DD340E" w:rsidRDefault="00DD340E" w:rsidP="00DD340E">
      <w:pPr>
        <w:pStyle w:val="Heading2"/>
        <w:rPr>
          <w:color w:val="000000" w:themeColor="text1"/>
        </w:rPr>
      </w:pPr>
      <w:r w:rsidRPr="00DD340E">
        <w:rPr>
          <w:color w:val="000000" w:themeColor="text1"/>
        </w:rPr>
        <w:lastRenderedPageBreak/>
        <w:t>SYSTEM DIAGRAM: LOGIC &amp; FLOW (what the figure shows)</w:t>
      </w:r>
    </w:p>
    <w:p w:rsidR="00DD340E" w:rsidRPr="00DD340E" w:rsidRDefault="00DD340E" w:rsidP="00DD340E">
      <w:pPr>
        <w:pStyle w:val="Heading3"/>
        <w:rPr>
          <w:color w:val="000000" w:themeColor="text1"/>
        </w:rPr>
      </w:pPr>
      <w:r w:rsidRPr="00DD340E">
        <w:rPr>
          <w:rStyle w:val="Strong"/>
          <w:b/>
          <w:bCs/>
          <w:color w:val="000000" w:themeColor="text1"/>
        </w:rPr>
        <w:t>SYSTEM BOUNDARY</w:t>
      </w:r>
    </w:p>
    <w:p w:rsidR="00DD340E" w:rsidRDefault="00DD340E" w:rsidP="00DD340E">
      <w:pPr>
        <w:pStyle w:val="NormalWeb"/>
      </w:pPr>
      <w:r>
        <w:rPr>
          <w:rStyle w:val="Emphasis"/>
        </w:rPr>
        <w:t>(Whole plant – open, non-equilibrium system)</w:t>
      </w:r>
    </w:p>
    <w:p w:rsidR="00DD340E" w:rsidRDefault="00DD340E" w:rsidP="00DD340E"/>
    <w:p w:rsidR="00DD340E" w:rsidRPr="00DD340E" w:rsidRDefault="00DD340E" w:rsidP="00DD340E">
      <w:pPr>
        <w:pStyle w:val="Heading2"/>
        <w:rPr>
          <w:color w:val="000000" w:themeColor="text1"/>
        </w:rPr>
      </w:pPr>
      <w:r w:rsidRPr="00DD340E">
        <w:rPr>
          <w:color w:val="000000" w:themeColor="text1"/>
        </w:rPr>
        <w:t>1External Inputs (Energy &amp; Matter)</w:t>
      </w:r>
    </w:p>
    <w:p w:rsidR="00DD340E" w:rsidRDefault="00DD340E" w:rsidP="00DD340E">
      <w:pPr>
        <w:pStyle w:val="NormalWeb"/>
      </w:pPr>
      <w:r>
        <w:rPr>
          <w:rStyle w:val="Strong"/>
          <w:rFonts w:eastAsiaTheme="majorEastAsia"/>
        </w:rPr>
        <w:t>Incident Environment</w:t>
      </w:r>
    </w:p>
    <w:p w:rsidR="00DD340E" w:rsidRDefault="00DD340E" w:rsidP="00DD340E">
      <w:pPr>
        <w:pStyle w:val="NormalWeb"/>
        <w:numPr>
          <w:ilvl w:val="0"/>
          <w:numId w:val="15"/>
        </w:numPr>
      </w:pPr>
      <w:r>
        <w:rPr>
          <w:rFonts w:ascii="MS Mincho" w:eastAsia="MS Mincho" w:hAnsi="MS Mincho" w:cs="MS Mincho" w:hint="eastAsia"/>
        </w:rPr>
        <w:t>☀</w:t>
      </w:r>
      <w:r>
        <w:t xml:space="preserve"> Solar radiation (PAR)</w:t>
      </w:r>
    </w:p>
    <w:p w:rsidR="00DD340E" w:rsidRDefault="00DD340E" w:rsidP="00DD340E">
      <w:pPr>
        <w:pStyle w:val="NormalWeb"/>
        <w:numPr>
          <w:ilvl w:val="0"/>
          <w:numId w:val="15"/>
        </w:numPr>
      </w:pPr>
      <w:r>
        <w:t xml:space="preserve"> Atmospheric CO₂</w:t>
      </w:r>
    </w:p>
    <w:p w:rsidR="00DD340E" w:rsidRDefault="00DD340E" w:rsidP="00DD340E">
      <w:pPr>
        <w:pStyle w:val="NormalWeb"/>
        <w:numPr>
          <w:ilvl w:val="0"/>
          <w:numId w:val="15"/>
        </w:numPr>
      </w:pPr>
      <w:r>
        <w:t xml:space="preserve"> Soil water</w:t>
      </w:r>
    </w:p>
    <w:p w:rsidR="00DD340E" w:rsidRDefault="00DD340E" w:rsidP="00DD340E">
      <w:pPr>
        <w:pStyle w:val="NormalWeb"/>
        <w:numPr>
          <w:ilvl w:val="0"/>
          <w:numId w:val="15"/>
        </w:numPr>
      </w:pPr>
      <w:r>
        <w:t xml:space="preserve"> Mineral nutrients (N, Mg, Fe, etc.)</w:t>
      </w:r>
    </w:p>
    <w:p w:rsidR="00DD340E" w:rsidRDefault="00DD340E" w:rsidP="00DD340E">
      <w:pPr>
        <w:pStyle w:val="NormalWeb"/>
      </w:pPr>
      <w:r>
        <w:rPr>
          <w:rFonts w:ascii="Cambria Math" w:hAnsi="Cambria Math" w:cs="Cambria Math"/>
        </w:rPr>
        <w:t>⬇</w:t>
      </w:r>
    </w:p>
    <w:p w:rsidR="00DD340E" w:rsidRPr="00DD340E" w:rsidRDefault="00DD340E" w:rsidP="00DD340E">
      <w:pPr>
        <w:pStyle w:val="Heading2"/>
        <w:rPr>
          <w:color w:val="000000" w:themeColor="text1"/>
        </w:rPr>
      </w:pPr>
      <w:r w:rsidRPr="00DD340E">
        <w:rPr>
          <w:color w:val="000000" w:themeColor="text1"/>
        </w:rPr>
        <w:t>2 Absorption Interfaces (AE – Retained Inputs)</w:t>
      </w:r>
    </w:p>
    <w:p w:rsidR="00DD340E" w:rsidRDefault="00DD340E" w:rsidP="00DD340E">
      <w:pPr>
        <w:pStyle w:val="NormalWeb"/>
      </w:pPr>
      <w:r>
        <w:rPr>
          <w:rStyle w:val="Strong"/>
          <w:rFonts w:eastAsiaTheme="majorEastAsia"/>
        </w:rPr>
        <w:t>Leaf &amp; Root Uptake</w:t>
      </w:r>
    </w:p>
    <w:p w:rsidR="00DD340E" w:rsidRDefault="00DD340E" w:rsidP="00DD340E">
      <w:pPr>
        <w:pStyle w:val="NormalWeb"/>
        <w:numPr>
          <w:ilvl w:val="0"/>
          <w:numId w:val="16"/>
        </w:numPr>
      </w:pPr>
      <w:proofErr w:type="spellStart"/>
      <w:r>
        <w:t>Radiative</w:t>
      </w:r>
      <w:proofErr w:type="spellEnd"/>
      <w:r>
        <w:t xml:space="preserve"> absorption (</w:t>
      </w:r>
      <w:proofErr w:type="spellStart"/>
      <w:r>
        <w:t>fAPAR</w:t>
      </w:r>
      <w:proofErr w:type="spellEnd"/>
      <w:r>
        <w:t>)</w:t>
      </w:r>
    </w:p>
    <w:p w:rsidR="00DD340E" w:rsidRDefault="00DD340E" w:rsidP="00DD340E">
      <w:pPr>
        <w:pStyle w:val="NormalWeb"/>
        <w:numPr>
          <w:ilvl w:val="0"/>
          <w:numId w:val="16"/>
        </w:numPr>
      </w:pPr>
      <w:proofErr w:type="spellStart"/>
      <w:r>
        <w:t>Stomatal</w:t>
      </w:r>
      <w:proofErr w:type="spellEnd"/>
      <w:r>
        <w:t xml:space="preserve"> CO₂ uptake</w:t>
      </w:r>
    </w:p>
    <w:p w:rsidR="00DD340E" w:rsidRDefault="00DD340E" w:rsidP="00DD340E">
      <w:pPr>
        <w:pStyle w:val="NormalWeb"/>
        <w:numPr>
          <w:ilvl w:val="0"/>
          <w:numId w:val="16"/>
        </w:numPr>
      </w:pPr>
      <w:r>
        <w:t>Root water &amp; nutrient uptake</w:t>
      </w:r>
    </w:p>
    <w:p w:rsidR="00DD340E" w:rsidRDefault="00DD340E" w:rsidP="00DD340E">
      <w:pPr>
        <w:pStyle w:val="NormalWeb"/>
        <w:numPr>
          <w:ilvl w:val="0"/>
          <w:numId w:val="16"/>
        </w:numPr>
      </w:pPr>
      <w:r>
        <w:t>Optical interception &amp; scattering</w:t>
      </w:r>
    </w:p>
    <w:p w:rsidR="00DD340E" w:rsidRDefault="00DD340E" w:rsidP="00DD340E">
      <w:pPr>
        <w:pStyle w:val="NormalWeb"/>
      </w:pPr>
      <w:r>
        <w:t xml:space="preserve"> </w:t>
      </w:r>
      <w:r>
        <w:rPr>
          <w:rStyle w:val="Emphasis"/>
        </w:rPr>
        <w:t>Immediate losses excluded</w:t>
      </w:r>
      <w:proofErr w:type="gramStart"/>
      <w:r>
        <w:rPr>
          <w:rStyle w:val="Emphasis"/>
        </w:rPr>
        <w:t>:</w:t>
      </w:r>
      <w:proofErr w:type="gramEnd"/>
      <w:r>
        <w:br/>
        <w:t>Reflection, transmission, spectral mismatch</w:t>
      </w:r>
    </w:p>
    <w:p w:rsidR="00DD340E" w:rsidRDefault="00DD340E" w:rsidP="00DD340E">
      <w:pPr>
        <w:pStyle w:val="NormalWeb"/>
      </w:pPr>
      <w:r>
        <w:rPr>
          <w:rFonts w:ascii="Cambria Math" w:hAnsi="Cambria Math" w:cs="Cambria Math"/>
        </w:rPr>
        <w:t>⬇</w:t>
      </w:r>
      <w:r>
        <w:br/>
      </w:r>
      <w:r>
        <w:rPr>
          <w:rStyle w:val="Strong"/>
          <w:rFonts w:eastAsiaTheme="majorEastAsia"/>
        </w:rPr>
        <w:t>AE = absorbed &amp; retained energetic + elemental resources</w:t>
      </w:r>
    </w:p>
    <w:p w:rsidR="00DD340E" w:rsidRPr="00DD340E" w:rsidRDefault="00DD340E" w:rsidP="00DD340E">
      <w:pPr>
        <w:pStyle w:val="Heading2"/>
        <w:rPr>
          <w:color w:val="000000" w:themeColor="text1"/>
        </w:rPr>
      </w:pPr>
      <w:r w:rsidRPr="00DD340E">
        <w:rPr>
          <w:color w:val="000000" w:themeColor="text1"/>
        </w:rPr>
        <w:t>3 Transpiration–Transport Loss Network (TE)</w:t>
      </w:r>
    </w:p>
    <w:p w:rsidR="00DD340E" w:rsidRDefault="00DD340E" w:rsidP="00DD340E">
      <w:pPr>
        <w:pStyle w:val="NormalWeb"/>
      </w:pPr>
      <w:r>
        <w:rPr>
          <w:rStyle w:val="Strong"/>
          <w:rFonts w:eastAsiaTheme="majorEastAsia"/>
        </w:rPr>
        <w:t>Mandatory loss pathways</w:t>
      </w:r>
    </w:p>
    <w:p w:rsidR="00DD340E" w:rsidRDefault="00DD340E" w:rsidP="00DD340E">
      <w:pPr>
        <w:pStyle w:val="NormalWeb"/>
        <w:numPr>
          <w:ilvl w:val="0"/>
          <w:numId w:val="17"/>
        </w:numPr>
      </w:pPr>
      <w:r>
        <w:t>Transpiration-driven dilution</w:t>
      </w:r>
    </w:p>
    <w:p w:rsidR="00DD340E" w:rsidRDefault="00DD340E" w:rsidP="00DD340E">
      <w:pPr>
        <w:pStyle w:val="NormalWeb"/>
        <w:numPr>
          <w:ilvl w:val="0"/>
          <w:numId w:val="17"/>
        </w:numPr>
      </w:pPr>
      <w:r>
        <w:t>Hydraulic resistance</w:t>
      </w:r>
    </w:p>
    <w:p w:rsidR="00DD340E" w:rsidRDefault="00DD340E" w:rsidP="00DD340E">
      <w:pPr>
        <w:pStyle w:val="NormalWeb"/>
        <w:numPr>
          <w:ilvl w:val="0"/>
          <w:numId w:val="17"/>
        </w:numPr>
      </w:pPr>
      <w:r>
        <w:t>Metabolite transport cost</w:t>
      </w:r>
    </w:p>
    <w:p w:rsidR="00DD340E" w:rsidRDefault="00DD340E" w:rsidP="00DD340E">
      <w:pPr>
        <w:pStyle w:val="NormalWeb"/>
        <w:numPr>
          <w:ilvl w:val="0"/>
          <w:numId w:val="17"/>
        </w:numPr>
      </w:pPr>
      <w:r>
        <w:t>Heat dissipation</w:t>
      </w:r>
    </w:p>
    <w:p w:rsidR="00DD340E" w:rsidRDefault="00DD340E" w:rsidP="00DD340E">
      <w:pPr>
        <w:pStyle w:val="NormalWeb"/>
        <w:numPr>
          <w:ilvl w:val="0"/>
          <w:numId w:val="17"/>
        </w:numPr>
      </w:pPr>
      <w:r>
        <w:t>Oxidative stress regulation</w:t>
      </w:r>
    </w:p>
    <w:p w:rsidR="00DD340E" w:rsidRDefault="00DD340E" w:rsidP="00DD340E">
      <w:pPr>
        <w:pStyle w:val="NormalWeb"/>
        <w:numPr>
          <w:ilvl w:val="0"/>
          <w:numId w:val="17"/>
        </w:numPr>
      </w:pPr>
      <w:r>
        <w:t>Maintenance respiration</w:t>
      </w:r>
    </w:p>
    <w:p w:rsidR="00DD340E" w:rsidRDefault="00DD340E" w:rsidP="00DD340E">
      <w:pPr>
        <w:pStyle w:val="NormalWeb"/>
      </w:pPr>
      <w:r>
        <w:rPr>
          <w:rFonts w:ascii="Cambria Math" w:hAnsi="Cambria Math" w:cs="Cambria Math"/>
        </w:rPr>
        <w:lastRenderedPageBreak/>
        <w:t>⬇</w:t>
      </w:r>
    </w:p>
    <w:p w:rsidR="00DD340E" w:rsidRDefault="00DD340E" w:rsidP="00DD340E"/>
    <w:p w:rsidR="00DD340E" w:rsidRPr="00DD340E" w:rsidRDefault="00DD340E" w:rsidP="00DD340E">
      <w:pPr>
        <w:pStyle w:val="Heading2"/>
        <w:rPr>
          <w:color w:val="000000" w:themeColor="text1"/>
        </w:rPr>
      </w:pPr>
      <w:r w:rsidRPr="00DD340E">
        <w:rPr>
          <w:color w:val="000000" w:themeColor="text1"/>
        </w:rPr>
        <w:t>4 Irreducible Entropy Production (ε)</w:t>
      </w:r>
    </w:p>
    <w:p w:rsidR="00DD340E" w:rsidRDefault="00DD340E" w:rsidP="00DD340E">
      <w:pPr>
        <w:pStyle w:val="NormalWeb"/>
      </w:pPr>
      <w:r>
        <w:rPr>
          <w:rStyle w:val="Strong"/>
          <w:rFonts w:eastAsiaTheme="majorEastAsia"/>
        </w:rPr>
        <w:t>Thermodynamically unavoidable</w:t>
      </w:r>
    </w:p>
    <w:p w:rsidR="00DD340E" w:rsidRDefault="00DD340E" w:rsidP="00DD340E">
      <w:pPr>
        <w:pStyle w:val="NormalWeb"/>
        <w:numPr>
          <w:ilvl w:val="0"/>
          <w:numId w:val="18"/>
        </w:numPr>
      </w:pPr>
      <w:r>
        <w:t>Enzymatic irreversibility</w:t>
      </w:r>
    </w:p>
    <w:p w:rsidR="00DD340E" w:rsidRDefault="00DD340E" w:rsidP="00DD340E">
      <w:pPr>
        <w:pStyle w:val="NormalWeb"/>
        <w:numPr>
          <w:ilvl w:val="0"/>
          <w:numId w:val="18"/>
        </w:numPr>
      </w:pPr>
      <w:r>
        <w:t>Pigment turnover</w:t>
      </w:r>
    </w:p>
    <w:p w:rsidR="00DD340E" w:rsidRDefault="00DD340E" w:rsidP="00DD340E">
      <w:pPr>
        <w:pStyle w:val="NormalWeb"/>
        <w:numPr>
          <w:ilvl w:val="0"/>
          <w:numId w:val="18"/>
        </w:numPr>
      </w:pPr>
      <w:r>
        <w:t>Molecular disorder</w:t>
      </w:r>
    </w:p>
    <w:p w:rsidR="00DD340E" w:rsidRDefault="00DD340E" w:rsidP="00DD340E">
      <w:pPr>
        <w:pStyle w:val="NormalWeb"/>
        <w:numPr>
          <w:ilvl w:val="0"/>
          <w:numId w:val="18"/>
        </w:numPr>
      </w:pPr>
      <w:r>
        <w:t>Heat &amp; entropy generation</w:t>
      </w:r>
    </w:p>
    <w:p w:rsidR="00DD340E" w:rsidRDefault="00DD340E" w:rsidP="00DD340E">
      <w:pPr>
        <w:pStyle w:val="NormalWeb"/>
      </w:pPr>
      <w:r>
        <w:rPr>
          <w:rFonts w:ascii="Cambria Math" w:hAnsi="Cambria Math" w:cs="Cambria Math"/>
        </w:rPr>
        <w:t>⬇</w:t>
      </w:r>
    </w:p>
    <w:p w:rsidR="00DD340E" w:rsidRPr="00DD340E" w:rsidRDefault="00DD340E" w:rsidP="00DD340E">
      <w:pPr>
        <w:pStyle w:val="Heading2"/>
        <w:rPr>
          <w:color w:val="000000" w:themeColor="text1"/>
        </w:rPr>
      </w:pPr>
      <w:r w:rsidRPr="00DD340E">
        <w:rPr>
          <w:color w:val="000000" w:themeColor="text1"/>
        </w:rPr>
        <w:t>5 CORE CONTROL: ENERGY SURVIVAL FILTER</w:t>
      </w:r>
    </w:p>
    <w:p w:rsidR="00DD340E" w:rsidRPr="00DD340E" w:rsidRDefault="00DD340E" w:rsidP="00DD340E">
      <w:pPr>
        <w:pStyle w:val="Heading3"/>
        <w:rPr>
          <w:color w:val="000000" w:themeColor="text1"/>
        </w:rPr>
      </w:pPr>
      <w:r w:rsidRPr="00DD340E">
        <w:rPr>
          <w:rStyle w:val="Strong"/>
          <w:b/>
          <w:bCs/>
          <w:color w:val="000000" w:themeColor="text1"/>
        </w:rPr>
        <w:t>Energy Survival Factor</w:t>
      </w:r>
    </w:p>
    <w:p w:rsidR="00DD340E" w:rsidRDefault="00DD340E" w:rsidP="00DD340E">
      <w:r>
        <w:rPr>
          <w:rStyle w:val="katex-mathml"/>
        </w:rPr>
        <w:t>Ψ=AE/</w:t>
      </w:r>
      <w:proofErr w:type="spellStart"/>
      <w:r>
        <w:rPr>
          <w:rStyle w:val="katex-mathml"/>
        </w:rPr>
        <w:t>TE+ε</w:t>
      </w:r>
      <w:proofErr w:type="spellEnd"/>
    </w:p>
    <w:p w:rsidR="00DD340E" w:rsidRDefault="00DD340E" w:rsidP="00DD340E">
      <w:pPr>
        <w:pStyle w:val="NormalWeb"/>
      </w:pPr>
      <w:r>
        <w:rPr>
          <w:rStyle w:val="Strong"/>
          <w:rFonts w:eastAsiaTheme="majorEastAsia"/>
        </w:rPr>
        <w:t>Meaning</w:t>
      </w:r>
    </w:p>
    <w:p w:rsidR="00DD340E" w:rsidRDefault="00DD340E" w:rsidP="00DD340E">
      <w:pPr>
        <w:pStyle w:val="NormalWeb"/>
        <w:numPr>
          <w:ilvl w:val="0"/>
          <w:numId w:val="19"/>
        </w:numPr>
      </w:pPr>
      <w:r>
        <w:t>Not efficiency</w:t>
      </w:r>
    </w:p>
    <w:p w:rsidR="00DD340E" w:rsidRDefault="00DD340E" w:rsidP="00DD340E">
      <w:pPr>
        <w:pStyle w:val="NormalWeb"/>
        <w:numPr>
          <w:ilvl w:val="0"/>
          <w:numId w:val="19"/>
        </w:numPr>
      </w:pPr>
      <w:r>
        <w:t>Survival probability of absorbed resources</w:t>
      </w:r>
    </w:p>
    <w:p w:rsidR="00DD340E" w:rsidRDefault="00DD340E" w:rsidP="00DD340E">
      <w:pPr>
        <w:pStyle w:val="NormalWeb"/>
        <w:numPr>
          <w:ilvl w:val="0"/>
          <w:numId w:val="19"/>
        </w:numPr>
      </w:pPr>
      <w:r>
        <w:t>Strictly bounded: 0 &lt; Ψ &lt; 1</w:t>
      </w:r>
    </w:p>
    <w:p w:rsidR="00DD340E" w:rsidRDefault="00DD340E" w:rsidP="00DD340E">
      <w:pPr>
        <w:pStyle w:val="NormalWeb"/>
      </w:pPr>
      <w:r>
        <w:rPr>
          <w:rFonts w:ascii="Cambria Math" w:hAnsi="Cambria Math" w:cs="Cambria Math"/>
        </w:rPr>
        <w:t>⬇</w:t>
      </w:r>
    </w:p>
    <w:p w:rsidR="00DD340E" w:rsidRPr="00DD340E" w:rsidRDefault="00DD340E" w:rsidP="00DD340E">
      <w:pPr>
        <w:pStyle w:val="Heading2"/>
        <w:rPr>
          <w:color w:val="000000" w:themeColor="text1"/>
        </w:rPr>
      </w:pPr>
      <w:proofErr w:type="gramStart"/>
      <w:r w:rsidRPr="00DD340E">
        <w:rPr>
          <w:color w:val="000000" w:themeColor="text1"/>
        </w:rPr>
        <w:t>6</w:t>
      </w:r>
      <w:r w:rsidRPr="00DD340E">
        <w:rPr>
          <w:rFonts w:ascii="Cambria" w:hAnsi="Cambria" w:cs="Cambria"/>
          <w:color w:val="000000" w:themeColor="text1"/>
        </w:rPr>
        <w:t>.</w:t>
      </w:r>
      <w:r w:rsidRPr="00DD340E">
        <w:rPr>
          <w:color w:val="000000" w:themeColor="text1"/>
        </w:rPr>
        <w:t>Pigment</w:t>
      </w:r>
      <w:proofErr w:type="gramEnd"/>
      <w:r w:rsidRPr="00DD340E">
        <w:rPr>
          <w:color w:val="000000" w:themeColor="text1"/>
        </w:rPr>
        <w:t xml:space="preserve"> Biosynthesis &amp; Retention (Survival-Dependent)</w:t>
      </w:r>
    </w:p>
    <w:p w:rsidR="00DD340E" w:rsidRPr="00DD340E" w:rsidRDefault="00DD340E" w:rsidP="00DD340E">
      <w:pPr>
        <w:pStyle w:val="Heading3"/>
        <w:rPr>
          <w:color w:val="000000" w:themeColor="text1"/>
        </w:rPr>
      </w:pPr>
      <w:r w:rsidRPr="00DD340E">
        <w:rPr>
          <w:color w:val="000000" w:themeColor="text1"/>
        </w:rPr>
        <w:t>Pigment Pools</w:t>
      </w:r>
    </w:p>
    <w:p w:rsidR="00DD340E" w:rsidRDefault="00DD340E" w:rsidP="00DD340E">
      <w:pPr>
        <w:pStyle w:val="NormalWeb"/>
        <w:numPr>
          <w:ilvl w:val="0"/>
          <w:numId w:val="20"/>
        </w:numPr>
      </w:pPr>
      <w:r>
        <w:t xml:space="preserve"> </w:t>
      </w:r>
      <w:r>
        <w:rPr>
          <w:rStyle w:val="Strong"/>
          <w:rFonts w:eastAsiaTheme="majorEastAsia"/>
        </w:rPr>
        <w:t>Chlorophyll</w:t>
      </w:r>
      <w:r>
        <w:t xml:space="preserve"> (photosynthetic greenness)</w:t>
      </w:r>
    </w:p>
    <w:p w:rsidR="00DD340E" w:rsidRDefault="00DD340E" w:rsidP="00DD340E">
      <w:pPr>
        <w:pStyle w:val="NormalWeb"/>
        <w:numPr>
          <w:ilvl w:val="0"/>
          <w:numId w:val="20"/>
        </w:numPr>
      </w:pPr>
      <w:r>
        <w:t xml:space="preserve"> </w:t>
      </w:r>
      <w:proofErr w:type="spellStart"/>
      <w:r>
        <w:rPr>
          <w:rStyle w:val="Strong"/>
          <w:rFonts w:eastAsiaTheme="majorEastAsia"/>
        </w:rPr>
        <w:t>Carotenoids</w:t>
      </w:r>
      <w:proofErr w:type="spellEnd"/>
      <w:r>
        <w:t xml:space="preserve"> (</w:t>
      </w:r>
      <w:proofErr w:type="spellStart"/>
      <w:r>
        <w:t>photoprotection</w:t>
      </w:r>
      <w:proofErr w:type="spellEnd"/>
      <w:r>
        <w:t>)</w:t>
      </w:r>
    </w:p>
    <w:p w:rsidR="00DD340E" w:rsidRDefault="00DD340E" w:rsidP="00DD340E">
      <w:pPr>
        <w:pStyle w:val="NormalWeb"/>
        <w:numPr>
          <w:ilvl w:val="0"/>
          <w:numId w:val="20"/>
        </w:numPr>
      </w:pPr>
      <w:r>
        <w:t xml:space="preserve"> </w:t>
      </w:r>
      <w:proofErr w:type="spellStart"/>
      <w:r>
        <w:rPr>
          <w:rStyle w:val="Strong"/>
          <w:rFonts w:eastAsiaTheme="majorEastAsia"/>
        </w:rPr>
        <w:t>Anthocyanins</w:t>
      </w:r>
      <w:proofErr w:type="spellEnd"/>
      <w:r>
        <w:t xml:space="preserve"> (stress buffering)</w:t>
      </w:r>
    </w:p>
    <w:p w:rsidR="00DD340E" w:rsidRDefault="00DD340E" w:rsidP="00DD340E">
      <w:pPr>
        <w:pStyle w:val="NormalWeb"/>
      </w:pPr>
      <w:r>
        <w:rPr>
          <w:rStyle w:val="Strong"/>
          <w:rFonts w:eastAsiaTheme="majorEastAsia"/>
        </w:rPr>
        <w:t>Only sustained when</w:t>
      </w:r>
      <w:proofErr w:type="gramStart"/>
      <w:r>
        <w:rPr>
          <w:rStyle w:val="Strong"/>
          <w:rFonts w:eastAsiaTheme="majorEastAsia"/>
        </w:rPr>
        <w:t>:</w:t>
      </w:r>
      <w:proofErr w:type="gramEnd"/>
      <w:r>
        <w:br/>
        <w:t>AE survives transpiration + entropy loss</w:t>
      </w:r>
    </w:p>
    <w:p w:rsidR="00DD340E" w:rsidRDefault="00DD340E" w:rsidP="00DD340E">
      <w:pPr>
        <w:pStyle w:val="NormalWeb"/>
      </w:pPr>
      <w:r>
        <w:rPr>
          <w:rFonts w:ascii="Cambria Math" w:hAnsi="Cambria Math" w:cs="Cambria Math"/>
        </w:rPr>
        <w:t>⬇</w:t>
      </w:r>
    </w:p>
    <w:p w:rsidR="00DD340E" w:rsidRDefault="00DD340E" w:rsidP="00DD340E"/>
    <w:p w:rsidR="00DD340E" w:rsidRPr="00DD340E" w:rsidRDefault="00DD340E" w:rsidP="00DD340E">
      <w:pPr>
        <w:pStyle w:val="Heading2"/>
        <w:rPr>
          <w:color w:val="000000" w:themeColor="text1"/>
        </w:rPr>
      </w:pPr>
      <w:r w:rsidRPr="00DD340E">
        <w:rPr>
          <w:color w:val="000000" w:themeColor="text1"/>
        </w:rPr>
        <w:lastRenderedPageBreak/>
        <w:t>7 Optical Expression (Visible Color)</w:t>
      </w:r>
    </w:p>
    <w:p w:rsidR="00DD340E" w:rsidRPr="00DD340E" w:rsidRDefault="00DD340E" w:rsidP="00DD340E">
      <w:pPr>
        <w:pStyle w:val="Heading3"/>
        <w:rPr>
          <w:color w:val="000000" w:themeColor="text1"/>
        </w:rPr>
      </w:pPr>
      <w:r w:rsidRPr="00DD340E">
        <w:rPr>
          <w:color w:val="000000" w:themeColor="text1"/>
        </w:rPr>
        <w:t>Optical Output</w:t>
      </w:r>
    </w:p>
    <w:p w:rsidR="00DD340E" w:rsidRDefault="00DD340E" w:rsidP="00DD340E">
      <w:r>
        <w:rPr>
          <w:rStyle w:val="katex-mathml"/>
        </w:rPr>
        <w:t>Color Intensity</w:t>
      </w:r>
      <w:r>
        <w:rPr>
          <w:rStyle w:val="katex-mathml"/>
          <w:rFonts w:ascii="Cambria Math" w:hAnsi="Cambria Math" w:cs="Cambria Math"/>
        </w:rPr>
        <w:t>∝</w:t>
      </w:r>
      <w:proofErr w:type="gramStart"/>
      <w:r>
        <w:rPr>
          <w:rStyle w:val="katex-mathml"/>
        </w:rPr>
        <w:t>∑(</w:t>
      </w:r>
      <w:proofErr w:type="spellStart"/>
      <w:proofErr w:type="gramEnd"/>
      <w:r>
        <w:rPr>
          <w:rStyle w:val="katex-mathml"/>
        </w:rPr>
        <w:t>εi</w:t>
      </w:r>
      <w:proofErr w:type="spellEnd"/>
      <w:r>
        <w:rPr>
          <w:rStyle w:val="katex-mathml"/>
          <w:rFonts w:ascii="Cambria Math" w:hAnsi="Cambria Math" w:cs="Cambria Math"/>
        </w:rPr>
        <w:t>⋅</w:t>
      </w:r>
      <w:r>
        <w:rPr>
          <w:rStyle w:val="katex-mathml"/>
        </w:rPr>
        <w:t>[</w:t>
      </w:r>
      <w:proofErr w:type="spellStart"/>
      <w:r>
        <w:rPr>
          <w:rStyle w:val="katex-mathml"/>
        </w:rPr>
        <w:t>Pigment</w:t>
      </w:r>
      <w:r>
        <w:rPr>
          <w:rStyle w:val="katex-mathml"/>
          <w:vertAlign w:val="subscript"/>
        </w:rPr>
        <w:t>i</w:t>
      </w:r>
      <w:proofErr w:type="spellEnd"/>
      <w:r>
        <w:rPr>
          <w:rStyle w:val="katex-mathml"/>
        </w:rPr>
        <w:t xml:space="preserve"> ])</w:t>
      </w:r>
      <w:r>
        <w:rPr>
          <w:rStyle w:val="katex-mathml"/>
          <w:rFonts w:ascii="Cambria Math" w:hAnsi="Cambria Math" w:cs="Cambria Math"/>
        </w:rPr>
        <w:t>⋅</w:t>
      </w:r>
      <w:r>
        <w:rPr>
          <w:rStyle w:val="katex-mathml"/>
        </w:rPr>
        <w:t>Ψ</w:t>
      </w:r>
    </w:p>
    <w:p w:rsidR="00DD340E" w:rsidRDefault="00DD340E" w:rsidP="00DD340E">
      <w:pPr>
        <w:pStyle w:val="NormalWeb"/>
        <w:numPr>
          <w:ilvl w:val="0"/>
          <w:numId w:val="21"/>
        </w:numPr>
      </w:pPr>
      <w:r>
        <w:t>Leaf greenness saturation</w:t>
      </w:r>
    </w:p>
    <w:p w:rsidR="00DD340E" w:rsidRDefault="00DD340E" w:rsidP="00DD340E">
      <w:pPr>
        <w:pStyle w:val="NormalWeb"/>
        <w:numPr>
          <w:ilvl w:val="0"/>
          <w:numId w:val="21"/>
        </w:numPr>
      </w:pPr>
      <w:r>
        <w:t>Stress-induced fading</w:t>
      </w:r>
    </w:p>
    <w:p w:rsidR="00DD340E" w:rsidRDefault="00DD340E" w:rsidP="00DD340E">
      <w:pPr>
        <w:pStyle w:val="NormalWeb"/>
        <w:numPr>
          <w:ilvl w:val="0"/>
          <w:numId w:val="21"/>
        </w:numPr>
      </w:pPr>
      <w:r>
        <w:t>Red/purple stress coloration</w:t>
      </w:r>
    </w:p>
    <w:p w:rsidR="00DD340E" w:rsidRDefault="00DD340E" w:rsidP="00DD340E">
      <w:pPr>
        <w:pStyle w:val="NormalWeb"/>
        <w:numPr>
          <w:ilvl w:val="0"/>
          <w:numId w:val="21"/>
        </w:numPr>
      </w:pPr>
      <w:r>
        <w:t>Recovery after survival restoration</w:t>
      </w:r>
    </w:p>
    <w:p w:rsidR="00DD340E" w:rsidRDefault="00DD340E" w:rsidP="00DD340E"/>
    <w:p w:rsidR="00DD340E" w:rsidRPr="00DD340E" w:rsidRDefault="00DD340E" w:rsidP="00DD340E">
      <w:pPr>
        <w:pStyle w:val="Heading2"/>
        <w:rPr>
          <w:color w:val="000000" w:themeColor="text1"/>
        </w:rPr>
      </w:pPr>
      <w:proofErr w:type="gramStart"/>
      <w:r w:rsidRPr="00DD340E">
        <w:rPr>
          <w:color w:val="000000" w:themeColor="text1"/>
        </w:rPr>
        <w:t>8</w:t>
      </w:r>
      <w:r w:rsidRPr="00DD340E">
        <w:rPr>
          <w:rFonts w:ascii="Cambria" w:hAnsi="Cambria" w:cs="Cambria"/>
          <w:color w:val="000000" w:themeColor="text1"/>
        </w:rPr>
        <w:t>.</w:t>
      </w:r>
      <w:r w:rsidRPr="00DD340E">
        <w:rPr>
          <w:color w:val="000000" w:themeColor="text1"/>
        </w:rPr>
        <w:t>Observable</w:t>
      </w:r>
      <w:proofErr w:type="gramEnd"/>
      <w:r w:rsidRPr="00DD340E">
        <w:rPr>
          <w:color w:val="000000" w:themeColor="text1"/>
        </w:rPr>
        <w:t xml:space="preserve"> Outcomes</w:t>
      </w:r>
    </w:p>
    <w:tbl>
      <w:tblPr>
        <w:tblW w:w="0" w:type="auto"/>
        <w:tblCellSpacing w:w="15" w:type="dxa"/>
        <w:tblCellMar>
          <w:top w:w="15" w:type="dxa"/>
          <w:left w:w="15" w:type="dxa"/>
          <w:bottom w:w="15" w:type="dxa"/>
          <w:right w:w="15" w:type="dxa"/>
        </w:tblCellMar>
        <w:tblLook w:val="04A0"/>
      </w:tblPr>
      <w:tblGrid>
        <w:gridCol w:w="2529"/>
        <w:gridCol w:w="2165"/>
      </w:tblGrid>
      <w:tr w:rsidR="00DD340E" w:rsidTr="00CD3DDC">
        <w:trPr>
          <w:tblHeader/>
          <w:tblCellSpacing w:w="15" w:type="dxa"/>
        </w:trPr>
        <w:tc>
          <w:tcPr>
            <w:tcW w:w="0" w:type="auto"/>
            <w:vAlign w:val="center"/>
            <w:hideMark/>
          </w:tcPr>
          <w:p w:rsidR="00DD340E" w:rsidRDefault="00DD340E" w:rsidP="00CD3DDC">
            <w:pPr>
              <w:jc w:val="center"/>
              <w:rPr>
                <w:b/>
                <w:bCs/>
                <w:sz w:val="24"/>
                <w:szCs w:val="24"/>
              </w:rPr>
            </w:pPr>
            <w:r>
              <w:rPr>
                <w:b/>
                <w:bCs/>
              </w:rPr>
              <w:t>Condition</w:t>
            </w:r>
          </w:p>
        </w:tc>
        <w:tc>
          <w:tcPr>
            <w:tcW w:w="0" w:type="auto"/>
            <w:vAlign w:val="center"/>
            <w:hideMark/>
          </w:tcPr>
          <w:p w:rsidR="00DD340E" w:rsidRDefault="00DD340E" w:rsidP="00CD3DDC">
            <w:pPr>
              <w:jc w:val="center"/>
              <w:rPr>
                <w:b/>
                <w:bCs/>
                <w:sz w:val="24"/>
                <w:szCs w:val="24"/>
              </w:rPr>
            </w:pPr>
            <w:r>
              <w:rPr>
                <w:b/>
                <w:bCs/>
              </w:rPr>
              <w:t>System State</w:t>
            </w:r>
          </w:p>
        </w:tc>
      </w:tr>
      <w:tr w:rsidR="00DD340E" w:rsidTr="00CD3DDC">
        <w:trPr>
          <w:tblCellSpacing w:w="15" w:type="dxa"/>
        </w:trPr>
        <w:tc>
          <w:tcPr>
            <w:tcW w:w="0" w:type="auto"/>
            <w:vAlign w:val="center"/>
            <w:hideMark/>
          </w:tcPr>
          <w:p w:rsidR="00DD340E" w:rsidRDefault="00DD340E" w:rsidP="00CD3DDC">
            <w:pPr>
              <w:rPr>
                <w:sz w:val="24"/>
                <w:szCs w:val="24"/>
              </w:rPr>
            </w:pPr>
            <w:r>
              <w:t>Balanced water &amp; nutrients</w:t>
            </w:r>
          </w:p>
        </w:tc>
        <w:tc>
          <w:tcPr>
            <w:tcW w:w="0" w:type="auto"/>
            <w:vAlign w:val="center"/>
            <w:hideMark/>
          </w:tcPr>
          <w:p w:rsidR="00DD340E" w:rsidRDefault="00DD340E" w:rsidP="00CD3DDC">
            <w:pPr>
              <w:rPr>
                <w:sz w:val="24"/>
                <w:szCs w:val="24"/>
              </w:rPr>
            </w:pPr>
            <w:r>
              <w:t>Deep, stable green</w:t>
            </w:r>
          </w:p>
        </w:tc>
      </w:tr>
      <w:tr w:rsidR="00DD340E" w:rsidTr="00CD3DDC">
        <w:trPr>
          <w:tblCellSpacing w:w="15" w:type="dxa"/>
        </w:trPr>
        <w:tc>
          <w:tcPr>
            <w:tcW w:w="0" w:type="auto"/>
            <w:vAlign w:val="center"/>
            <w:hideMark/>
          </w:tcPr>
          <w:p w:rsidR="00DD340E" w:rsidRDefault="00DD340E" w:rsidP="00CD3DDC">
            <w:pPr>
              <w:rPr>
                <w:sz w:val="24"/>
                <w:szCs w:val="24"/>
              </w:rPr>
            </w:pPr>
            <w:r>
              <w:t>High light + drought</w:t>
            </w:r>
          </w:p>
        </w:tc>
        <w:tc>
          <w:tcPr>
            <w:tcW w:w="0" w:type="auto"/>
            <w:vAlign w:val="center"/>
            <w:hideMark/>
          </w:tcPr>
          <w:p w:rsidR="00DD340E" w:rsidRDefault="00DD340E" w:rsidP="00CD3DDC">
            <w:pPr>
              <w:rPr>
                <w:sz w:val="24"/>
                <w:szCs w:val="24"/>
              </w:rPr>
            </w:pPr>
            <w:proofErr w:type="spellStart"/>
            <w:r>
              <w:t>Chlorosis</w:t>
            </w:r>
            <w:proofErr w:type="spellEnd"/>
            <w:r>
              <w:t xml:space="preserve"> / fading</w:t>
            </w:r>
          </w:p>
        </w:tc>
      </w:tr>
      <w:tr w:rsidR="00DD340E" w:rsidTr="00CD3DDC">
        <w:trPr>
          <w:tblCellSpacing w:w="15" w:type="dxa"/>
        </w:trPr>
        <w:tc>
          <w:tcPr>
            <w:tcW w:w="0" w:type="auto"/>
            <w:vAlign w:val="center"/>
            <w:hideMark/>
          </w:tcPr>
          <w:p w:rsidR="00DD340E" w:rsidRDefault="00DD340E" w:rsidP="00CD3DDC">
            <w:pPr>
              <w:rPr>
                <w:sz w:val="24"/>
                <w:szCs w:val="24"/>
              </w:rPr>
            </w:pPr>
            <w:r>
              <w:t>Stress with carbon surplus</w:t>
            </w:r>
          </w:p>
        </w:tc>
        <w:tc>
          <w:tcPr>
            <w:tcW w:w="0" w:type="auto"/>
            <w:vAlign w:val="center"/>
            <w:hideMark/>
          </w:tcPr>
          <w:p w:rsidR="00DD340E" w:rsidRDefault="00DD340E" w:rsidP="00CD3DDC">
            <w:pPr>
              <w:rPr>
                <w:sz w:val="24"/>
                <w:szCs w:val="24"/>
              </w:rPr>
            </w:pPr>
            <w:proofErr w:type="spellStart"/>
            <w:r>
              <w:t>Anthocyanin</w:t>
            </w:r>
            <w:proofErr w:type="spellEnd"/>
            <w:r>
              <w:t xml:space="preserve"> reddening</w:t>
            </w:r>
          </w:p>
        </w:tc>
      </w:tr>
      <w:tr w:rsidR="00DD340E" w:rsidTr="00CD3DDC">
        <w:trPr>
          <w:tblCellSpacing w:w="15" w:type="dxa"/>
        </w:trPr>
        <w:tc>
          <w:tcPr>
            <w:tcW w:w="0" w:type="auto"/>
            <w:vAlign w:val="center"/>
            <w:hideMark/>
          </w:tcPr>
          <w:p w:rsidR="00DD340E" w:rsidRDefault="00DD340E" w:rsidP="00CD3DDC">
            <w:pPr>
              <w:rPr>
                <w:sz w:val="24"/>
                <w:szCs w:val="24"/>
              </w:rPr>
            </w:pPr>
            <w:r>
              <w:t>Rehydration / fertilization</w:t>
            </w:r>
          </w:p>
        </w:tc>
        <w:tc>
          <w:tcPr>
            <w:tcW w:w="0" w:type="auto"/>
            <w:vAlign w:val="center"/>
            <w:hideMark/>
          </w:tcPr>
          <w:p w:rsidR="00DD340E" w:rsidRDefault="00DD340E" w:rsidP="00CD3DDC">
            <w:pPr>
              <w:rPr>
                <w:sz w:val="24"/>
                <w:szCs w:val="24"/>
              </w:rPr>
            </w:pPr>
            <w:r>
              <w:t>Color recovery</w:t>
            </w:r>
          </w:p>
        </w:tc>
      </w:tr>
    </w:tbl>
    <w:p w:rsidR="00DD340E" w:rsidRPr="00DD340E" w:rsidRDefault="00DD340E" w:rsidP="00DD340E">
      <w:pPr>
        <w:rPr>
          <w:color w:val="000000" w:themeColor="text1"/>
        </w:rPr>
      </w:pPr>
    </w:p>
    <w:p w:rsidR="00DD340E" w:rsidRPr="00DD340E" w:rsidRDefault="00DD340E" w:rsidP="00DD340E">
      <w:pPr>
        <w:pStyle w:val="Heading2"/>
        <w:rPr>
          <w:color w:val="000000" w:themeColor="text1"/>
        </w:rPr>
      </w:pPr>
      <w:r w:rsidRPr="00DD340E">
        <w:rPr>
          <w:color w:val="000000" w:themeColor="text1"/>
        </w:rPr>
        <w:t xml:space="preserve"> WHAT THIS DIAGRAM PROVES </w:t>
      </w:r>
    </w:p>
    <w:p w:rsidR="00DD340E" w:rsidRDefault="00DD340E" w:rsidP="00DD340E">
      <w:pPr>
        <w:pStyle w:val="NormalWeb"/>
      </w:pPr>
      <w:r>
        <w:t xml:space="preserve"> Color is </w:t>
      </w:r>
      <w:r>
        <w:rPr>
          <w:rStyle w:val="Strong"/>
          <w:rFonts w:eastAsiaTheme="majorEastAsia"/>
        </w:rPr>
        <w:t>survival-limited</w:t>
      </w:r>
      <w:r>
        <w:t>, not synthesis-limited</w:t>
      </w:r>
      <w:r>
        <w:br/>
        <w:t xml:space="preserve"> More light ≠ deeper color</w:t>
      </w:r>
      <w:r>
        <w:br/>
        <w:t xml:space="preserve"> Transpiration is a </w:t>
      </w:r>
      <w:r>
        <w:rPr>
          <w:rStyle w:val="Strong"/>
          <w:rFonts w:eastAsiaTheme="majorEastAsia"/>
        </w:rPr>
        <w:t>dominant loss term</w:t>
      </w:r>
      <w:r>
        <w:br/>
        <w:t xml:space="preserve"> Pigment stability follows the same law as biomass</w:t>
      </w:r>
      <w:r>
        <w:br/>
        <w:t xml:space="preserve">Stress increases </w:t>
      </w:r>
      <w:r>
        <w:rPr>
          <w:rStyle w:val="Strong"/>
          <w:rFonts w:eastAsiaTheme="majorEastAsia"/>
        </w:rPr>
        <w:t>TE + ε</w:t>
      </w:r>
      <w:r>
        <w:t>, lowering Ψ</w:t>
      </w:r>
      <w:r>
        <w:br/>
        <w:t xml:space="preserve"> Explains </w:t>
      </w:r>
      <w:proofErr w:type="spellStart"/>
      <w:r>
        <w:t>chlorosis</w:t>
      </w:r>
      <w:proofErr w:type="spellEnd"/>
      <w:r>
        <w:t>, saturation, reddening, recovery</w:t>
      </w:r>
    </w:p>
    <w:p w:rsidR="00DD340E" w:rsidRDefault="00DD340E" w:rsidP="00DD340E"/>
    <w:p w:rsidR="00DD340E" w:rsidRDefault="00DD340E" w:rsidP="00DD340E">
      <w:pPr>
        <w:pStyle w:val="NormalWeb"/>
        <w:rPr>
          <w:rStyle w:val="relative"/>
        </w:rPr>
      </w:pPr>
      <w:proofErr w:type="gramStart"/>
      <w:r>
        <w:rPr>
          <w:rStyle w:val="Strong"/>
          <w:rFonts w:eastAsiaTheme="majorEastAsia"/>
        </w:rPr>
        <w:t>Conceptual diagram of the unified survival-based framework for plant color generation and stability.</w:t>
      </w:r>
      <w:proofErr w:type="gramEnd"/>
      <w:r>
        <w:t xml:space="preserve"> Incident energy and material resources enter the plant system through absorption interfaces. Only absorbed resources that survive transpiration-linked dissipation and irreversible entropy production (Ψ) remain available for pigment synthesis and retention. Visible coloration emerges as a survival-limited optical expression rather than a direct function of biosynthetic capacity, explaining color saturation, stress-induced fading, and recovery across environmental gradients. </w:t>
      </w:r>
    </w:p>
    <w:p w:rsidR="00DD340E" w:rsidRDefault="00DD340E" w:rsidP="00DD340E"/>
    <w:p w:rsidR="00172166" w:rsidRDefault="00172166" w:rsidP="00172166">
      <w:pPr>
        <w:pStyle w:val="NormalWeb"/>
      </w:pPr>
    </w:p>
    <w:p w:rsidR="00172166" w:rsidRPr="00DD340E" w:rsidRDefault="00172166" w:rsidP="00172166">
      <w:pPr>
        <w:pStyle w:val="Heading2"/>
        <w:rPr>
          <w:color w:val="000000" w:themeColor="text1"/>
        </w:rPr>
      </w:pPr>
      <w:r w:rsidRPr="00DD340E">
        <w:rPr>
          <w:rStyle w:val="Strong"/>
          <w:b/>
          <w:bCs/>
          <w:color w:val="000000" w:themeColor="text1"/>
        </w:rPr>
        <w:t>REFERENCES</w:t>
      </w:r>
    </w:p>
    <w:p w:rsidR="00172166" w:rsidRDefault="00172166" w:rsidP="00172166"/>
    <w:p w:rsidR="00172166" w:rsidRPr="0030266E" w:rsidRDefault="00172166" w:rsidP="0030266E">
      <w:pPr>
        <w:pStyle w:val="Heading3"/>
        <w:rPr>
          <w:b w:val="0"/>
          <w:color w:val="000000" w:themeColor="text1"/>
        </w:rPr>
      </w:pPr>
      <w:r w:rsidRPr="0030266E">
        <w:rPr>
          <w:rStyle w:val="Strong"/>
          <w:bCs/>
          <w:color w:val="000000" w:themeColor="text1"/>
        </w:rPr>
        <w:t>Plant Pigments, Color Formation, and Biochemistry</w:t>
      </w:r>
    </w:p>
    <w:p w:rsidR="00172166" w:rsidRPr="0030266E" w:rsidRDefault="00172166" w:rsidP="0030266E">
      <w:pPr>
        <w:pStyle w:val="NormalWeb"/>
        <w:numPr>
          <w:ilvl w:val="0"/>
          <w:numId w:val="8"/>
        </w:numPr>
      </w:pPr>
      <w:proofErr w:type="spellStart"/>
      <w:r w:rsidRPr="0030266E">
        <w:rPr>
          <w:rStyle w:val="Strong"/>
          <w:b w:val="0"/>
        </w:rPr>
        <w:t>Taiz</w:t>
      </w:r>
      <w:proofErr w:type="spellEnd"/>
      <w:r w:rsidRPr="0030266E">
        <w:rPr>
          <w:rStyle w:val="Strong"/>
          <w:b w:val="0"/>
        </w:rPr>
        <w:t xml:space="preserve">, L., </w:t>
      </w:r>
      <w:proofErr w:type="spellStart"/>
      <w:r w:rsidRPr="0030266E">
        <w:rPr>
          <w:rStyle w:val="Strong"/>
          <w:b w:val="0"/>
        </w:rPr>
        <w:t>Zeiger</w:t>
      </w:r>
      <w:proofErr w:type="spellEnd"/>
      <w:r w:rsidRPr="0030266E">
        <w:rPr>
          <w:rStyle w:val="Strong"/>
          <w:b w:val="0"/>
        </w:rPr>
        <w:t xml:space="preserve">, E., </w:t>
      </w:r>
      <w:proofErr w:type="spellStart"/>
      <w:r w:rsidRPr="0030266E">
        <w:rPr>
          <w:rStyle w:val="Strong"/>
          <w:b w:val="0"/>
        </w:rPr>
        <w:t>Møller</w:t>
      </w:r>
      <w:proofErr w:type="spellEnd"/>
      <w:r w:rsidRPr="0030266E">
        <w:rPr>
          <w:rStyle w:val="Strong"/>
          <w:b w:val="0"/>
        </w:rPr>
        <w:t>, I. M., &amp; Murphy, A.</w:t>
      </w:r>
      <w:r w:rsidRPr="0030266E">
        <w:t xml:space="preserve"> (2015).</w:t>
      </w:r>
      <w:r w:rsidRPr="0030266E">
        <w:br/>
      </w:r>
      <w:r w:rsidRPr="0030266E">
        <w:rPr>
          <w:rStyle w:val="Emphasis"/>
        </w:rPr>
        <w:t>Plant Physiology and Development</w:t>
      </w:r>
      <w:r w:rsidRPr="0030266E">
        <w:t xml:space="preserve"> (6th </w:t>
      </w:r>
      <w:proofErr w:type="gramStart"/>
      <w:r w:rsidRPr="0030266E">
        <w:t>ed</w:t>
      </w:r>
      <w:proofErr w:type="gramEnd"/>
      <w:r w:rsidRPr="0030266E">
        <w:t xml:space="preserve">.). </w:t>
      </w:r>
      <w:proofErr w:type="spellStart"/>
      <w:r w:rsidRPr="0030266E">
        <w:t>Sinauer</w:t>
      </w:r>
      <w:proofErr w:type="spellEnd"/>
      <w:r w:rsidRPr="0030266E">
        <w:t xml:space="preserve"> Associates.</w:t>
      </w:r>
      <w:r w:rsidRPr="0030266E">
        <w:br/>
        <w:t xml:space="preserve">— Authoritative reference on chlorophyll, </w:t>
      </w:r>
      <w:proofErr w:type="spellStart"/>
      <w:r w:rsidRPr="0030266E">
        <w:t>carotenoids</w:t>
      </w:r>
      <w:proofErr w:type="spellEnd"/>
      <w:r w:rsidRPr="0030266E">
        <w:t xml:space="preserve">, </w:t>
      </w:r>
      <w:proofErr w:type="spellStart"/>
      <w:r w:rsidRPr="0030266E">
        <w:t>anthocyanins</w:t>
      </w:r>
      <w:proofErr w:type="spellEnd"/>
      <w:r w:rsidRPr="0030266E">
        <w:t>, and their physiological roles.</w:t>
      </w:r>
    </w:p>
    <w:p w:rsidR="00172166" w:rsidRPr="0030266E" w:rsidRDefault="00172166" w:rsidP="0030266E">
      <w:pPr>
        <w:pStyle w:val="NormalWeb"/>
        <w:numPr>
          <w:ilvl w:val="0"/>
          <w:numId w:val="8"/>
        </w:numPr>
      </w:pPr>
      <w:proofErr w:type="spellStart"/>
      <w:r w:rsidRPr="0030266E">
        <w:rPr>
          <w:rStyle w:val="Strong"/>
          <w:b w:val="0"/>
        </w:rPr>
        <w:t>Lichtenthaler</w:t>
      </w:r>
      <w:proofErr w:type="spellEnd"/>
      <w:r w:rsidRPr="0030266E">
        <w:rPr>
          <w:rStyle w:val="Strong"/>
          <w:b w:val="0"/>
        </w:rPr>
        <w:t>, H. K.</w:t>
      </w:r>
      <w:r w:rsidRPr="0030266E">
        <w:t xml:space="preserve"> (1987). Chlorophylls and </w:t>
      </w:r>
      <w:proofErr w:type="spellStart"/>
      <w:r w:rsidRPr="0030266E">
        <w:t>carotenoids</w:t>
      </w:r>
      <w:proofErr w:type="spellEnd"/>
      <w:r w:rsidRPr="0030266E">
        <w:t xml:space="preserve">: Pigments of photosynthetic </w:t>
      </w:r>
      <w:proofErr w:type="spellStart"/>
      <w:r w:rsidRPr="0030266E">
        <w:t>biomembranes</w:t>
      </w:r>
      <w:proofErr w:type="spellEnd"/>
      <w:r w:rsidRPr="0030266E">
        <w:t>.</w:t>
      </w:r>
      <w:r w:rsidRPr="0030266E">
        <w:br/>
      </w:r>
      <w:r w:rsidRPr="0030266E">
        <w:rPr>
          <w:rStyle w:val="Emphasis"/>
        </w:rPr>
        <w:t xml:space="preserve">Methods in </w:t>
      </w:r>
      <w:proofErr w:type="spellStart"/>
      <w:r w:rsidRPr="0030266E">
        <w:rPr>
          <w:rStyle w:val="Emphasis"/>
        </w:rPr>
        <w:t>Enzymology</w:t>
      </w:r>
      <w:proofErr w:type="spellEnd"/>
      <w:r w:rsidRPr="0030266E">
        <w:t xml:space="preserve">, </w:t>
      </w:r>
      <w:r w:rsidRPr="0030266E">
        <w:rPr>
          <w:rStyle w:val="Strong"/>
          <w:b w:val="0"/>
        </w:rPr>
        <w:t>148</w:t>
      </w:r>
      <w:r w:rsidRPr="0030266E">
        <w:t>, 350–382.</w:t>
      </w:r>
      <w:r w:rsidRPr="0030266E">
        <w:br/>
        <w:t>— Standard reference for pigment absorption coefficients and biochemistry.</w:t>
      </w:r>
    </w:p>
    <w:p w:rsidR="00172166" w:rsidRPr="0030266E" w:rsidRDefault="00172166" w:rsidP="0030266E">
      <w:pPr>
        <w:pStyle w:val="NormalWeb"/>
        <w:numPr>
          <w:ilvl w:val="0"/>
          <w:numId w:val="8"/>
        </w:numPr>
      </w:pPr>
      <w:r w:rsidRPr="0030266E">
        <w:rPr>
          <w:rStyle w:val="Strong"/>
          <w:b w:val="0"/>
        </w:rPr>
        <w:t xml:space="preserve">Croft, H., Chen, J. M., Zhang, Y., &amp; </w:t>
      </w:r>
      <w:proofErr w:type="spellStart"/>
      <w:r w:rsidRPr="0030266E">
        <w:rPr>
          <w:rStyle w:val="Strong"/>
          <w:b w:val="0"/>
        </w:rPr>
        <w:t>Simic</w:t>
      </w:r>
      <w:proofErr w:type="spellEnd"/>
      <w:r w:rsidRPr="0030266E">
        <w:rPr>
          <w:rStyle w:val="Strong"/>
          <w:b w:val="0"/>
        </w:rPr>
        <w:t>, A.</w:t>
      </w:r>
      <w:r w:rsidRPr="0030266E">
        <w:t xml:space="preserve"> (2014). The applicability of empirical vegetation indices for determining leaf chlorophyll content.</w:t>
      </w:r>
      <w:r w:rsidRPr="0030266E">
        <w:br/>
      </w:r>
      <w:r w:rsidRPr="0030266E">
        <w:rPr>
          <w:rStyle w:val="Emphasis"/>
        </w:rPr>
        <w:t>Remote Sensing of Environment</w:t>
      </w:r>
      <w:r w:rsidRPr="0030266E">
        <w:t xml:space="preserve">, </w:t>
      </w:r>
      <w:r w:rsidRPr="0030266E">
        <w:rPr>
          <w:rStyle w:val="Strong"/>
          <w:b w:val="0"/>
        </w:rPr>
        <w:t>143</w:t>
      </w:r>
      <w:r w:rsidRPr="0030266E">
        <w:t>, 116–128.</w:t>
      </w:r>
      <w:r w:rsidRPr="0030266E">
        <w:br/>
        <w:t>— Links pigment concentration to optical indices.</w:t>
      </w:r>
    </w:p>
    <w:p w:rsidR="00172166" w:rsidRPr="0030266E" w:rsidRDefault="00172166" w:rsidP="0030266E">
      <w:pPr>
        <w:pStyle w:val="NormalWeb"/>
        <w:numPr>
          <w:ilvl w:val="0"/>
          <w:numId w:val="8"/>
        </w:numPr>
      </w:pPr>
      <w:proofErr w:type="spellStart"/>
      <w:r w:rsidRPr="0030266E">
        <w:rPr>
          <w:rStyle w:val="Strong"/>
          <w:b w:val="0"/>
        </w:rPr>
        <w:t>Gitelson</w:t>
      </w:r>
      <w:proofErr w:type="spellEnd"/>
      <w:r w:rsidRPr="0030266E">
        <w:rPr>
          <w:rStyle w:val="Strong"/>
          <w:b w:val="0"/>
        </w:rPr>
        <w:t>, A. A., et al.</w:t>
      </w:r>
      <w:r w:rsidRPr="0030266E">
        <w:t xml:space="preserve"> (2003). Relationships between leaf chlorophyll content and spectral reflectance.</w:t>
      </w:r>
      <w:r w:rsidRPr="0030266E">
        <w:br/>
      </w:r>
      <w:r w:rsidRPr="0030266E">
        <w:rPr>
          <w:rStyle w:val="Emphasis"/>
        </w:rPr>
        <w:t>Remote Sensing of Environment</w:t>
      </w:r>
      <w:r w:rsidRPr="0030266E">
        <w:t xml:space="preserve">, </w:t>
      </w:r>
      <w:r w:rsidRPr="0030266E">
        <w:rPr>
          <w:rStyle w:val="Strong"/>
          <w:b w:val="0"/>
        </w:rPr>
        <w:t>87</w:t>
      </w:r>
      <w:r w:rsidRPr="0030266E">
        <w:t>, 135–145.</w:t>
      </w:r>
      <w:r w:rsidRPr="0030266E">
        <w:br/>
        <w:t>— Empirical validation of pigment–reflectance coupling.</w:t>
      </w:r>
    </w:p>
    <w:p w:rsidR="00172166" w:rsidRPr="0030266E" w:rsidRDefault="00172166" w:rsidP="0030266E"/>
    <w:p w:rsidR="00172166" w:rsidRPr="0030266E" w:rsidRDefault="00172166" w:rsidP="0030266E">
      <w:pPr>
        <w:pStyle w:val="Heading3"/>
        <w:rPr>
          <w:b w:val="0"/>
          <w:color w:val="000000" w:themeColor="text1"/>
        </w:rPr>
      </w:pPr>
      <w:r w:rsidRPr="0030266E">
        <w:rPr>
          <w:rStyle w:val="Strong"/>
          <w:bCs/>
          <w:color w:val="000000" w:themeColor="text1"/>
        </w:rPr>
        <w:t xml:space="preserve">Optical Absorption, Beer–Lambert Law, and Leaf </w:t>
      </w:r>
      <w:proofErr w:type="spellStart"/>
      <w:r w:rsidRPr="0030266E">
        <w:rPr>
          <w:rStyle w:val="Strong"/>
          <w:bCs/>
          <w:color w:val="000000" w:themeColor="text1"/>
        </w:rPr>
        <w:t>Radiative</w:t>
      </w:r>
      <w:proofErr w:type="spellEnd"/>
      <w:r w:rsidRPr="0030266E">
        <w:rPr>
          <w:rStyle w:val="Strong"/>
          <w:bCs/>
          <w:color w:val="000000" w:themeColor="text1"/>
        </w:rPr>
        <w:t xml:space="preserve"> Transfer</w:t>
      </w:r>
    </w:p>
    <w:p w:rsidR="00172166" w:rsidRPr="0030266E" w:rsidRDefault="00172166" w:rsidP="0030266E">
      <w:pPr>
        <w:pStyle w:val="NormalWeb"/>
        <w:numPr>
          <w:ilvl w:val="0"/>
          <w:numId w:val="9"/>
        </w:numPr>
      </w:pPr>
      <w:proofErr w:type="spellStart"/>
      <w:r w:rsidRPr="0030266E">
        <w:rPr>
          <w:rStyle w:val="Strong"/>
          <w:b w:val="0"/>
        </w:rPr>
        <w:t>Jacquemoud</w:t>
      </w:r>
      <w:proofErr w:type="spellEnd"/>
      <w:r w:rsidRPr="0030266E">
        <w:rPr>
          <w:rStyle w:val="Strong"/>
          <w:b w:val="0"/>
        </w:rPr>
        <w:t xml:space="preserve">, S., &amp; </w:t>
      </w:r>
      <w:proofErr w:type="spellStart"/>
      <w:r w:rsidRPr="0030266E">
        <w:rPr>
          <w:rStyle w:val="Strong"/>
          <w:b w:val="0"/>
        </w:rPr>
        <w:t>Baret</w:t>
      </w:r>
      <w:proofErr w:type="spellEnd"/>
      <w:r w:rsidRPr="0030266E">
        <w:rPr>
          <w:rStyle w:val="Strong"/>
          <w:b w:val="0"/>
        </w:rPr>
        <w:t>, F.</w:t>
      </w:r>
      <w:r w:rsidRPr="0030266E">
        <w:t xml:space="preserve"> (1990). PROSPECT: A model of leaf optical properties.</w:t>
      </w:r>
      <w:r w:rsidRPr="0030266E">
        <w:br/>
      </w:r>
      <w:r w:rsidRPr="0030266E">
        <w:rPr>
          <w:rStyle w:val="Emphasis"/>
        </w:rPr>
        <w:t>Remote Sensing of Environment</w:t>
      </w:r>
      <w:r w:rsidRPr="0030266E">
        <w:t xml:space="preserve">, </w:t>
      </w:r>
      <w:r w:rsidRPr="0030266E">
        <w:rPr>
          <w:rStyle w:val="Strong"/>
          <w:b w:val="0"/>
        </w:rPr>
        <w:t>34</w:t>
      </w:r>
      <w:r w:rsidRPr="0030266E">
        <w:t>, 75–91.</w:t>
      </w:r>
      <w:r w:rsidRPr="0030266E">
        <w:br/>
        <w:t xml:space="preserve">— Foundational </w:t>
      </w:r>
      <w:proofErr w:type="spellStart"/>
      <w:r w:rsidRPr="0030266E">
        <w:t>radiative</w:t>
      </w:r>
      <w:proofErr w:type="spellEnd"/>
      <w:r w:rsidRPr="0030266E">
        <w:t xml:space="preserve"> transfer model for leaves.</w:t>
      </w:r>
    </w:p>
    <w:p w:rsidR="00172166" w:rsidRPr="0030266E" w:rsidRDefault="00172166" w:rsidP="0030266E">
      <w:pPr>
        <w:pStyle w:val="NormalWeb"/>
        <w:numPr>
          <w:ilvl w:val="0"/>
          <w:numId w:val="9"/>
        </w:numPr>
      </w:pPr>
      <w:r w:rsidRPr="0030266E">
        <w:rPr>
          <w:rStyle w:val="Strong"/>
          <w:b w:val="0"/>
        </w:rPr>
        <w:t xml:space="preserve">Allen, W. A., </w:t>
      </w:r>
      <w:proofErr w:type="spellStart"/>
      <w:r w:rsidRPr="0030266E">
        <w:rPr>
          <w:rStyle w:val="Strong"/>
          <w:b w:val="0"/>
        </w:rPr>
        <w:t>Gausman</w:t>
      </w:r>
      <w:proofErr w:type="spellEnd"/>
      <w:r w:rsidRPr="0030266E">
        <w:rPr>
          <w:rStyle w:val="Strong"/>
          <w:b w:val="0"/>
        </w:rPr>
        <w:t>, H. W., Richardson, A. J., &amp; Thomas, J. R.</w:t>
      </w:r>
      <w:r w:rsidRPr="0030266E">
        <w:t xml:space="preserve"> (1969). Interaction of isotropic light with a compact plant leaf.</w:t>
      </w:r>
      <w:r w:rsidRPr="0030266E">
        <w:br/>
      </w:r>
      <w:r w:rsidRPr="0030266E">
        <w:rPr>
          <w:rStyle w:val="Emphasis"/>
        </w:rPr>
        <w:t>Journal of the Optical Society of America</w:t>
      </w:r>
      <w:r w:rsidRPr="0030266E">
        <w:t xml:space="preserve">, </w:t>
      </w:r>
      <w:r w:rsidRPr="0030266E">
        <w:rPr>
          <w:rStyle w:val="Strong"/>
          <w:b w:val="0"/>
        </w:rPr>
        <w:t>59</w:t>
      </w:r>
      <w:r w:rsidRPr="0030266E">
        <w:t>, 1376–1379.</w:t>
      </w:r>
      <w:r w:rsidRPr="0030266E">
        <w:br/>
        <w:t>— Optical path length and scattering in plant tissues.</w:t>
      </w:r>
    </w:p>
    <w:p w:rsidR="00172166" w:rsidRPr="0030266E" w:rsidRDefault="00172166" w:rsidP="0030266E">
      <w:pPr>
        <w:pStyle w:val="NormalWeb"/>
        <w:numPr>
          <w:ilvl w:val="0"/>
          <w:numId w:val="9"/>
        </w:numPr>
      </w:pPr>
      <w:proofErr w:type="spellStart"/>
      <w:r w:rsidRPr="0030266E">
        <w:rPr>
          <w:rStyle w:val="Strong"/>
          <w:b w:val="0"/>
        </w:rPr>
        <w:t>Ustin</w:t>
      </w:r>
      <w:proofErr w:type="spellEnd"/>
      <w:r w:rsidRPr="0030266E">
        <w:rPr>
          <w:rStyle w:val="Strong"/>
          <w:b w:val="0"/>
        </w:rPr>
        <w:t>, S. L., et al.</w:t>
      </w:r>
      <w:r w:rsidRPr="0030266E">
        <w:t xml:space="preserve"> (2004). Remote sensing of environment: Optical properties of plant canopies.</w:t>
      </w:r>
      <w:r w:rsidRPr="0030266E">
        <w:br/>
      </w:r>
      <w:r w:rsidRPr="0030266E">
        <w:rPr>
          <w:rStyle w:val="Emphasis"/>
        </w:rPr>
        <w:t>Remote Sensing of Environment</w:t>
      </w:r>
      <w:r w:rsidRPr="0030266E">
        <w:t xml:space="preserve">, </w:t>
      </w:r>
      <w:r w:rsidRPr="0030266E">
        <w:rPr>
          <w:rStyle w:val="Strong"/>
          <w:b w:val="0"/>
        </w:rPr>
        <w:t>90</w:t>
      </w:r>
      <w:r w:rsidRPr="0030266E">
        <w:t>, 1–21.</w:t>
      </w:r>
    </w:p>
    <w:p w:rsidR="00172166" w:rsidRPr="0030266E" w:rsidRDefault="00172166" w:rsidP="0030266E"/>
    <w:p w:rsidR="00172166" w:rsidRPr="0030266E" w:rsidRDefault="00172166" w:rsidP="0030266E">
      <w:pPr>
        <w:pStyle w:val="Heading3"/>
        <w:rPr>
          <w:b w:val="0"/>
          <w:color w:val="000000" w:themeColor="text1"/>
        </w:rPr>
      </w:pPr>
      <w:r w:rsidRPr="0030266E">
        <w:rPr>
          <w:rStyle w:val="Strong"/>
          <w:bCs/>
          <w:color w:val="000000" w:themeColor="text1"/>
        </w:rPr>
        <w:t>Transpiration, Respiration, and Pigment Stability</w:t>
      </w:r>
    </w:p>
    <w:p w:rsidR="00172166" w:rsidRPr="0030266E" w:rsidRDefault="00172166" w:rsidP="0030266E">
      <w:pPr>
        <w:pStyle w:val="NormalWeb"/>
        <w:numPr>
          <w:ilvl w:val="0"/>
          <w:numId w:val="10"/>
        </w:numPr>
      </w:pPr>
      <w:proofErr w:type="spellStart"/>
      <w:r w:rsidRPr="0030266E">
        <w:rPr>
          <w:rStyle w:val="Strong"/>
          <w:b w:val="0"/>
        </w:rPr>
        <w:t>Flexas</w:t>
      </w:r>
      <w:proofErr w:type="spellEnd"/>
      <w:r w:rsidRPr="0030266E">
        <w:rPr>
          <w:rStyle w:val="Strong"/>
          <w:b w:val="0"/>
        </w:rPr>
        <w:t>, J., et al.</w:t>
      </w:r>
      <w:r w:rsidRPr="0030266E">
        <w:t xml:space="preserve"> (2012). </w:t>
      </w:r>
      <w:proofErr w:type="spellStart"/>
      <w:r w:rsidRPr="0030266E">
        <w:t>Mesophyll</w:t>
      </w:r>
      <w:proofErr w:type="spellEnd"/>
      <w:r w:rsidRPr="0030266E">
        <w:t xml:space="preserve"> diffusion conductance to CO₂: An unappreciated central player.</w:t>
      </w:r>
      <w:r w:rsidRPr="0030266E">
        <w:br/>
      </w:r>
      <w:r w:rsidRPr="0030266E">
        <w:rPr>
          <w:rStyle w:val="Emphasis"/>
        </w:rPr>
        <w:t>Plant Science</w:t>
      </w:r>
      <w:r w:rsidRPr="0030266E">
        <w:t xml:space="preserve">, </w:t>
      </w:r>
      <w:r w:rsidRPr="0030266E">
        <w:rPr>
          <w:rStyle w:val="Strong"/>
          <w:b w:val="0"/>
        </w:rPr>
        <w:t>193–194</w:t>
      </w:r>
      <w:r w:rsidRPr="0030266E">
        <w:t>, 70–84.</w:t>
      </w:r>
    </w:p>
    <w:p w:rsidR="00172166" w:rsidRPr="0030266E" w:rsidRDefault="00172166" w:rsidP="0030266E">
      <w:pPr>
        <w:pStyle w:val="NormalWeb"/>
        <w:numPr>
          <w:ilvl w:val="0"/>
          <w:numId w:val="10"/>
        </w:numPr>
      </w:pPr>
      <w:proofErr w:type="spellStart"/>
      <w:r w:rsidRPr="0030266E">
        <w:rPr>
          <w:rStyle w:val="Strong"/>
          <w:b w:val="0"/>
        </w:rPr>
        <w:lastRenderedPageBreak/>
        <w:t>Atkin</w:t>
      </w:r>
      <w:proofErr w:type="spellEnd"/>
      <w:r w:rsidRPr="0030266E">
        <w:rPr>
          <w:rStyle w:val="Strong"/>
          <w:b w:val="0"/>
        </w:rPr>
        <w:t xml:space="preserve">, O. K., &amp; </w:t>
      </w:r>
      <w:proofErr w:type="spellStart"/>
      <w:r w:rsidRPr="0030266E">
        <w:rPr>
          <w:rStyle w:val="Strong"/>
          <w:b w:val="0"/>
        </w:rPr>
        <w:t>Tjoelker</w:t>
      </w:r>
      <w:proofErr w:type="spellEnd"/>
      <w:r w:rsidRPr="0030266E">
        <w:rPr>
          <w:rStyle w:val="Strong"/>
          <w:b w:val="0"/>
        </w:rPr>
        <w:t>, M. G.</w:t>
      </w:r>
      <w:r w:rsidRPr="0030266E">
        <w:t xml:space="preserve"> (2003). Thermal acclimation and dynamic response of plant respiration.</w:t>
      </w:r>
      <w:r w:rsidRPr="0030266E">
        <w:br/>
      </w:r>
      <w:r w:rsidRPr="0030266E">
        <w:rPr>
          <w:rStyle w:val="Emphasis"/>
        </w:rPr>
        <w:t xml:space="preserve">New </w:t>
      </w:r>
      <w:proofErr w:type="spellStart"/>
      <w:r w:rsidRPr="0030266E">
        <w:rPr>
          <w:rStyle w:val="Emphasis"/>
        </w:rPr>
        <w:t>Phytologist</w:t>
      </w:r>
      <w:proofErr w:type="spellEnd"/>
      <w:r w:rsidRPr="0030266E">
        <w:t xml:space="preserve">, </w:t>
      </w:r>
      <w:r w:rsidRPr="0030266E">
        <w:rPr>
          <w:rStyle w:val="Strong"/>
          <w:b w:val="0"/>
        </w:rPr>
        <w:t>160</w:t>
      </w:r>
      <w:r w:rsidRPr="0030266E">
        <w:t>, 315–330.</w:t>
      </w:r>
    </w:p>
    <w:p w:rsidR="00172166" w:rsidRPr="0030266E" w:rsidRDefault="00172166" w:rsidP="0030266E">
      <w:pPr>
        <w:pStyle w:val="NormalWeb"/>
        <w:numPr>
          <w:ilvl w:val="0"/>
          <w:numId w:val="10"/>
        </w:numPr>
      </w:pPr>
      <w:proofErr w:type="spellStart"/>
      <w:r w:rsidRPr="0030266E">
        <w:rPr>
          <w:rStyle w:val="Strong"/>
          <w:b w:val="0"/>
        </w:rPr>
        <w:t>Lambers</w:t>
      </w:r>
      <w:proofErr w:type="spellEnd"/>
      <w:r w:rsidRPr="0030266E">
        <w:rPr>
          <w:rStyle w:val="Strong"/>
          <w:b w:val="0"/>
        </w:rPr>
        <w:t>, H., Chapin, F. S., &amp; Pons, T. L.</w:t>
      </w:r>
      <w:r w:rsidRPr="0030266E">
        <w:t xml:space="preserve"> (2008).</w:t>
      </w:r>
      <w:r w:rsidRPr="0030266E">
        <w:br/>
      </w:r>
      <w:r w:rsidRPr="0030266E">
        <w:rPr>
          <w:rStyle w:val="Emphasis"/>
        </w:rPr>
        <w:t>Plant Physiological Ecology</w:t>
      </w:r>
      <w:r w:rsidRPr="0030266E">
        <w:t xml:space="preserve"> (2nd </w:t>
      </w:r>
      <w:proofErr w:type="gramStart"/>
      <w:r w:rsidRPr="0030266E">
        <w:t>ed</w:t>
      </w:r>
      <w:proofErr w:type="gramEnd"/>
      <w:r w:rsidRPr="0030266E">
        <w:t>.). Springer.</w:t>
      </w:r>
      <w:r w:rsidRPr="0030266E">
        <w:br/>
        <w:t>— Canonical reference on transpiration, respiration, and stress effects.</w:t>
      </w:r>
    </w:p>
    <w:p w:rsidR="00172166" w:rsidRPr="0030266E" w:rsidRDefault="00172166" w:rsidP="0030266E">
      <w:pPr>
        <w:pStyle w:val="NormalWeb"/>
        <w:numPr>
          <w:ilvl w:val="0"/>
          <w:numId w:val="10"/>
        </w:numPr>
      </w:pPr>
      <w:proofErr w:type="spellStart"/>
      <w:r w:rsidRPr="0030266E">
        <w:rPr>
          <w:rStyle w:val="Strong"/>
          <w:b w:val="0"/>
        </w:rPr>
        <w:t>Lawlor</w:t>
      </w:r>
      <w:proofErr w:type="spellEnd"/>
      <w:r w:rsidRPr="0030266E">
        <w:rPr>
          <w:rStyle w:val="Strong"/>
          <w:b w:val="0"/>
        </w:rPr>
        <w:t xml:space="preserve">, D. W., &amp; </w:t>
      </w:r>
      <w:proofErr w:type="spellStart"/>
      <w:r w:rsidRPr="0030266E">
        <w:rPr>
          <w:rStyle w:val="Strong"/>
          <w:b w:val="0"/>
        </w:rPr>
        <w:t>Cornic</w:t>
      </w:r>
      <w:proofErr w:type="spellEnd"/>
      <w:r w:rsidRPr="0030266E">
        <w:rPr>
          <w:rStyle w:val="Strong"/>
          <w:b w:val="0"/>
        </w:rPr>
        <w:t>, G.</w:t>
      </w:r>
      <w:r w:rsidRPr="0030266E">
        <w:t xml:space="preserve"> (2002). Photosynthetic carbon assimilation and stress.</w:t>
      </w:r>
      <w:r w:rsidRPr="0030266E">
        <w:br/>
      </w:r>
      <w:r w:rsidRPr="0030266E">
        <w:rPr>
          <w:rStyle w:val="Emphasis"/>
        </w:rPr>
        <w:t>Plant, Cell &amp; Environment</w:t>
      </w:r>
      <w:r w:rsidRPr="0030266E">
        <w:t xml:space="preserve">, </w:t>
      </w:r>
      <w:r w:rsidRPr="0030266E">
        <w:rPr>
          <w:rStyle w:val="Strong"/>
          <w:b w:val="0"/>
        </w:rPr>
        <w:t>25</w:t>
      </w:r>
      <w:r w:rsidRPr="0030266E">
        <w:t>, 275–294.</w:t>
      </w:r>
      <w:r w:rsidRPr="0030266E">
        <w:br/>
        <w:t>— Shows pigment decline under stress despite high light.</w:t>
      </w:r>
    </w:p>
    <w:p w:rsidR="00172166" w:rsidRPr="0030266E" w:rsidRDefault="00172166" w:rsidP="0030266E"/>
    <w:p w:rsidR="00172166" w:rsidRPr="0030266E" w:rsidRDefault="00172166" w:rsidP="0030266E">
      <w:pPr>
        <w:pStyle w:val="Heading3"/>
        <w:rPr>
          <w:b w:val="0"/>
          <w:color w:val="000000" w:themeColor="text1"/>
        </w:rPr>
      </w:pPr>
      <w:r w:rsidRPr="0030266E">
        <w:rPr>
          <w:rStyle w:val="Strong"/>
          <w:bCs/>
          <w:color w:val="000000" w:themeColor="text1"/>
        </w:rPr>
        <w:t xml:space="preserve">Drought, Nutrient Stress, and </w:t>
      </w:r>
      <w:proofErr w:type="spellStart"/>
      <w:r w:rsidRPr="0030266E">
        <w:rPr>
          <w:rStyle w:val="Strong"/>
          <w:bCs/>
          <w:color w:val="000000" w:themeColor="text1"/>
        </w:rPr>
        <w:t>Chlorosis</w:t>
      </w:r>
      <w:proofErr w:type="spellEnd"/>
    </w:p>
    <w:p w:rsidR="00172166" w:rsidRPr="0030266E" w:rsidRDefault="00172166" w:rsidP="0030266E">
      <w:pPr>
        <w:pStyle w:val="NormalWeb"/>
        <w:numPr>
          <w:ilvl w:val="0"/>
          <w:numId w:val="11"/>
        </w:numPr>
      </w:pPr>
      <w:r w:rsidRPr="0030266E">
        <w:rPr>
          <w:rStyle w:val="Strong"/>
          <w:b w:val="0"/>
        </w:rPr>
        <w:t>Evans, J. R.</w:t>
      </w:r>
      <w:r w:rsidRPr="0030266E">
        <w:t xml:space="preserve"> (1989). Photosynthesis and nitrogen relationships in leaves.</w:t>
      </w:r>
      <w:r w:rsidRPr="0030266E">
        <w:br/>
      </w:r>
      <w:proofErr w:type="spellStart"/>
      <w:r w:rsidRPr="0030266E">
        <w:rPr>
          <w:rStyle w:val="Emphasis"/>
        </w:rPr>
        <w:t>Oecologia</w:t>
      </w:r>
      <w:proofErr w:type="spellEnd"/>
      <w:r w:rsidRPr="0030266E">
        <w:t xml:space="preserve">, </w:t>
      </w:r>
      <w:r w:rsidRPr="0030266E">
        <w:rPr>
          <w:rStyle w:val="Strong"/>
          <w:b w:val="0"/>
        </w:rPr>
        <w:t>78</w:t>
      </w:r>
      <w:r w:rsidRPr="0030266E">
        <w:t>, 9–19.</w:t>
      </w:r>
    </w:p>
    <w:p w:rsidR="00172166" w:rsidRPr="0030266E" w:rsidRDefault="00172166" w:rsidP="0030266E">
      <w:pPr>
        <w:pStyle w:val="NormalWeb"/>
        <w:numPr>
          <w:ilvl w:val="0"/>
          <w:numId w:val="11"/>
        </w:numPr>
      </w:pPr>
      <w:r w:rsidRPr="0030266E">
        <w:rPr>
          <w:rStyle w:val="Strong"/>
          <w:b w:val="0"/>
        </w:rPr>
        <w:t>Sperry, J. S., et al.</w:t>
      </w:r>
      <w:r w:rsidRPr="0030266E">
        <w:t xml:space="preserve"> (2002). Water deficits and hydraulic limits.</w:t>
      </w:r>
      <w:r w:rsidRPr="0030266E">
        <w:br/>
      </w:r>
      <w:r w:rsidRPr="0030266E">
        <w:rPr>
          <w:rStyle w:val="Emphasis"/>
        </w:rPr>
        <w:t>Plant, Cell &amp; Environment</w:t>
      </w:r>
      <w:r w:rsidRPr="0030266E">
        <w:t xml:space="preserve">, </w:t>
      </w:r>
      <w:r w:rsidRPr="0030266E">
        <w:rPr>
          <w:rStyle w:val="Strong"/>
          <w:b w:val="0"/>
        </w:rPr>
        <w:t>25</w:t>
      </w:r>
      <w:r w:rsidRPr="0030266E">
        <w:t>, 251–263.</w:t>
      </w:r>
    </w:p>
    <w:p w:rsidR="00172166" w:rsidRPr="0030266E" w:rsidRDefault="00172166" w:rsidP="0030266E">
      <w:pPr>
        <w:pStyle w:val="NormalWeb"/>
        <w:numPr>
          <w:ilvl w:val="0"/>
          <w:numId w:val="11"/>
        </w:numPr>
      </w:pPr>
      <w:r w:rsidRPr="0030266E">
        <w:rPr>
          <w:rStyle w:val="Strong"/>
          <w:b w:val="0"/>
        </w:rPr>
        <w:t>Carter, G. A., &amp; Knapp, A. K.</w:t>
      </w:r>
      <w:r w:rsidRPr="0030266E">
        <w:t xml:space="preserve"> (2001). Leaf optical properties under stress.</w:t>
      </w:r>
      <w:r w:rsidRPr="0030266E">
        <w:br/>
      </w:r>
      <w:r w:rsidRPr="0030266E">
        <w:rPr>
          <w:rStyle w:val="Emphasis"/>
        </w:rPr>
        <w:t>American Journal of Botany</w:t>
      </w:r>
      <w:r w:rsidRPr="0030266E">
        <w:t xml:space="preserve">, </w:t>
      </w:r>
      <w:r w:rsidRPr="0030266E">
        <w:rPr>
          <w:rStyle w:val="Strong"/>
          <w:b w:val="0"/>
        </w:rPr>
        <w:t>88</w:t>
      </w:r>
      <w:r w:rsidRPr="0030266E">
        <w:t>, 677–684.</w:t>
      </w:r>
    </w:p>
    <w:p w:rsidR="00172166" w:rsidRPr="0030266E" w:rsidRDefault="00172166" w:rsidP="0030266E"/>
    <w:p w:rsidR="00172166" w:rsidRPr="0030266E" w:rsidRDefault="00172166" w:rsidP="0030266E">
      <w:pPr>
        <w:pStyle w:val="Heading3"/>
        <w:rPr>
          <w:b w:val="0"/>
          <w:color w:val="000000" w:themeColor="text1"/>
        </w:rPr>
      </w:pPr>
      <w:proofErr w:type="spellStart"/>
      <w:r w:rsidRPr="0030266E">
        <w:rPr>
          <w:rStyle w:val="Strong"/>
          <w:bCs/>
          <w:color w:val="000000" w:themeColor="text1"/>
        </w:rPr>
        <w:t>Anthocyanins</w:t>
      </w:r>
      <w:proofErr w:type="spellEnd"/>
      <w:r w:rsidRPr="0030266E">
        <w:rPr>
          <w:rStyle w:val="Strong"/>
          <w:bCs/>
          <w:color w:val="000000" w:themeColor="text1"/>
        </w:rPr>
        <w:t>, Stress Pigmentation, and Protection</w:t>
      </w:r>
    </w:p>
    <w:p w:rsidR="00172166" w:rsidRPr="0030266E" w:rsidRDefault="00172166" w:rsidP="0030266E">
      <w:pPr>
        <w:pStyle w:val="NormalWeb"/>
        <w:numPr>
          <w:ilvl w:val="0"/>
          <w:numId w:val="12"/>
        </w:numPr>
      </w:pPr>
      <w:r w:rsidRPr="0030266E">
        <w:rPr>
          <w:rStyle w:val="Strong"/>
          <w:b w:val="0"/>
        </w:rPr>
        <w:t>Gould, K. S.</w:t>
      </w:r>
      <w:r w:rsidRPr="0030266E">
        <w:t xml:space="preserve"> (2004). Nature’s Swiss Army Knife: </w:t>
      </w:r>
      <w:proofErr w:type="spellStart"/>
      <w:r w:rsidRPr="0030266E">
        <w:t>Anthocyanins</w:t>
      </w:r>
      <w:proofErr w:type="spellEnd"/>
      <w:r w:rsidRPr="0030266E">
        <w:t>.</w:t>
      </w:r>
      <w:r w:rsidRPr="0030266E">
        <w:br/>
      </w:r>
      <w:r w:rsidRPr="0030266E">
        <w:rPr>
          <w:rStyle w:val="Emphasis"/>
        </w:rPr>
        <w:t>Journal of Biomedicine and Biotechnology</w:t>
      </w:r>
      <w:r w:rsidRPr="0030266E">
        <w:t xml:space="preserve">, </w:t>
      </w:r>
      <w:r w:rsidRPr="0030266E">
        <w:rPr>
          <w:rStyle w:val="Strong"/>
          <w:b w:val="0"/>
        </w:rPr>
        <w:t>5</w:t>
      </w:r>
      <w:r w:rsidRPr="0030266E">
        <w:t>, 314–320.</w:t>
      </w:r>
    </w:p>
    <w:p w:rsidR="00172166" w:rsidRPr="0030266E" w:rsidRDefault="00172166" w:rsidP="0030266E">
      <w:pPr>
        <w:pStyle w:val="NormalWeb"/>
        <w:numPr>
          <w:ilvl w:val="0"/>
          <w:numId w:val="12"/>
        </w:numPr>
      </w:pPr>
      <w:proofErr w:type="spellStart"/>
      <w:r w:rsidRPr="0030266E">
        <w:rPr>
          <w:rStyle w:val="Strong"/>
          <w:b w:val="0"/>
        </w:rPr>
        <w:t>Chalker</w:t>
      </w:r>
      <w:proofErr w:type="spellEnd"/>
      <w:r w:rsidRPr="0030266E">
        <w:rPr>
          <w:rStyle w:val="Strong"/>
          <w:b w:val="0"/>
        </w:rPr>
        <w:t>-Scott, L.</w:t>
      </w:r>
      <w:r w:rsidRPr="0030266E">
        <w:t xml:space="preserve"> (1999). Environmental significance of </w:t>
      </w:r>
      <w:proofErr w:type="spellStart"/>
      <w:r w:rsidRPr="0030266E">
        <w:t>anthocyanins</w:t>
      </w:r>
      <w:proofErr w:type="spellEnd"/>
      <w:r w:rsidRPr="0030266E">
        <w:t>.</w:t>
      </w:r>
      <w:r w:rsidRPr="0030266E">
        <w:br/>
      </w:r>
      <w:r w:rsidRPr="0030266E">
        <w:rPr>
          <w:rStyle w:val="Emphasis"/>
        </w:rPr>
        <w:t>Photochemistry and Photobiology</w:t>
      </w:r>
      <w:r w:rsidRPr="0030266E">
        <w:t xml:space="preserve">, </w:t>
      </w:r>
      <w:r w:rsidRPr="0030266E">
        <w:rPr>
          <w:rStyle w:val="Strong"/>
          <w:b w:val="0"/>
        </w:rPr>
        <w:t>70</w:t>
      </w:r>
      <w:r w:rsidRPr="0030266E">
        <w:t>, 1–9.</w:t>
      </w:r>
    </w:p>
    <w:p w:rsidR="00172166" w:rsidRPr="0030266E" w:rsidRDefault="00172166" w:rsidP="0030266E"/>
    <w:p w:rsidR="00172166" w:rsidRPr="0030266E" w:rsidRDefault="00172166" w:rsidP="0030266E">
      <w:pPr>
        <w:pStyle w:val="Heading3"/>
        <w:rPr>
          <w:b w:val="0"/>
          <w:color w:val="000000" w:themeColor="text1"/>
        </w:rPr>
      </w:pPr>
      <w:r w:rsidRPr="0030266E">
        <w:rPr>
          <w:rStyle w:val="Strong"/>
          <w:bCs/>
          <w:color w:val="000000" w:themeColor="text1"/>
        </w:rPr>
        <w:t>Energy Balance, Dissipation, and Non-Equilibrium Thermodynamics</w:t>
      </w:r>
    </w:p>
    <w:p w:rsidR="00172166" w:rsidRPr="0030266E" w:rsidRDefault="00172166" w:rsidP="0030266E">
      <w:pPr>
        <w:pStyle w:val="NormalWeb"/>
        <w:numPr>
          <w:ilvl w:val="0"/>
          <w:numId w:val="13"/>
        </w:numPr>
      </w:pPr>
      <w:r w:rsidRPr="0030266E">
        <w:rPr>
          <w:rStyle w:val="Strong"/>
          <w:b w:val="0"/>
        </w:rPr>
        <w:t>Prigogine, I.</w:t>
      </w:r>
      <w:r w:rsidRPr="0030266E">
        <w:t xml:space="preserve"> (1967).</w:t>
      </w:r>
      <w:r w:rsidRPr="0030266E">
        <w:br/>
      </w:r>
      <w:r w:rsidRPr="0030266E">
        <w:rPr>
          <w:rStyle w:val="Emphasis"/>
        </w:rPr>
        <w:t>Introduction to Thermodynamics of Irreversible Processes</w:t>
      </w:r>
      <w:r w:rsidRPr="0030266E">
        <w:t>. Wiley.</w:t>
      </w:r>
      <w:r w:rsidRPr="0030266E">
        <w:br/>
        <w:t>— Core reference for entropy production.</w:t>
      </w:r>
    </w:p>
    <w:p w:rsidR="00172166" w:rsidRPr="0030266E" w:rsidRDefault="00172166" w:rsidP="0030266E">
      <w:pPr>
        <w:pStyle w:val="NormalWeb"/>
        <w:numPr>
          <w:ilvl w:val="0"/>
          <w:numId w:val="13"/>
        </w:numPr>
      </w:pPr>
      <w:r w:rsidRPr="0030266E">
        <w:rPr>
          <w:rStyle w:val="Strong"/>
          <w:b w:val="0"/>
        </w:rPr>
        <w:t>Schneider, E. D., &amp; Kay, J. J.</w:t>
      </w:r>
      <w:r w:rsidRPr="0030266E">
        <w:t xml:space="preserve"> (1994). Life as a manifestation of the second law.</w:t>
      </w:r>
      <w:r w:rsidRPr="0030266E">
        <w:br/>
      </w:r>
      <w:r w:rsidRPr="0030266E">
        <w:rPr>
          <w:rStyle w:val="Emphasis"/>
        </w:rPr>
        <w:t xml:space="preserve">Mathematical and Computer </w:t>
      </w:r>
      <w:proofErr w:type="spellStart"/>
      <w:r w:rsidRPr="0030266E">
        <w:rPr>
          <w:rStyle w:val="Emphasis"/>
        </w:rPr>
        <w:t>Modelling</w:t>
      </w:r>
      <w:proofErr w:type="spellEnd"/>
      <w:r w:rsidRPr="0030266E">
        <w:t xml:space="preserve">, </w:t>
      </w:r>
      <w:r w:rsidRPr="0030266E">
        <w:rPr>
          <w:rStyle w:val="Strong"/>
          <w:b w:val="0"/>
        </w:rPr>
        <w:t>19</w:t>
      </w:r>
      <w:r w:rsidRPr="0030266E">
        <w:t>, 25–48.</w:t>
      </w:r>
    </w:p>
    <w:p w:rsidR="00172166" w:rsidRPr="0030266E" w:rsidRDefault="00172166" w:rsidP="0030266E">
      <w:pPr>
        <w:pStyle w:val="NormalWeb"/>
        <w:numPr>
          <w:ilvl w:val="0"/>
          <w:numId w:val="13"/>
        </w:numPr>
      </w:pPr>
      <w:proofErr w:type="spellStart"/>
      <w:r w:rsidRPr="0030266E">
        <w:rPr>
          <w:rStyle w:val="Strong"/>
          <w:b w:val="0"/>
        </w:rPr>
        <w:t>Kleidon</w:t>
      </w:r>
      <w:proofErr w:type="spellEnd"/>
      <w:r w:rsidRPr="0030266E">
        <w:rPr>
          <w:rStyle w:val="Strong"/>
          <w:b w:val="0"/>
        </w:rPr>
        <w:t>, A.</w:t>
      </w:r>
      <w:r w:rsidRPr="0030266E">
        <w:t xml:space="preserve"> (2010). Thermodynamics of the Earth system.</w:t>
      </w:r>
      <w:r w:rsidRPr="0030266E">
        <w:br/>
      </w:r>
      <w:r w:rsidRPr="0030266E">
        <w:rPr>
          <w:rStyle w:val="Emphasis"/>
        </w:rPr>
        <w:t>Philosophical Transactions of the Royal Society B</w:t>
      </w:r>
      <w:r w:rsidRPr="0030266E">
        <w:t xml:space="preserve">, </w:t>
      </w:r>
      <w:r w:rsidRPr="0030266E">
        <w:rPr>
          <w:rStyle w:val="Strong"/>
          <w:b w:val="0"/>
        </w:rPr>
        <w:t>365</w:t>
      </w:r>
      <w:r w:rsidRPr="0030266E">
        <w:t>, 1303–1315.</w:t>
      </w:r>
    </w:p>
    <w:p w:rsidR="00172166" w:rsidRPr="0030266E" w:rsidRDefault="00172166" w:rsidP="0030266E"/>
    <w:p w:rsidR="00172166" w:rsidRPr="0030266E" w:rsidRDefault="00172166" w:rsidP="0030266E">
      <w:pPr>
        <w:pStyle w:val="Heading3"/>
        <w:rPr>
          <w:b w:val="0"/>
          <w:color w:val="000000" w:themeColor="text1"/>
        </w:rPr>
      </w:pPr>
      <w:r w:rsidRPr="0030266E">
        <w:rPr>
          <w:rStyle w:val="Strong"/>
          <w:bCs/>
          <w:color w:val="000000" w:themeColor="text1"/>
        </w:rPr>
        <w:lastRenderedPageBreak/>
        <w:t>Systems Biology, Energy Survival, and Scaling</w:t>
      </w:r>
    </w:p>
    <w:p w:rsidR="00172166" w:rsidRPr="0030266E" w:rsidRDefault="00172166" w:rsidP="0030266E">
      <w:pPr>
        <w:pStyle w:val="NormalWeb"/>
        <w:numPr>
          <w:ilvl w:val="0"/>
          <w:numId w:val="14"/>
        </w:numPr>
      </w:pPr>
      <w:r w:rsidRPr="0030266E">
        <w:rPr>
          <w:rStyle w:val="Strong"/>
          <w:b w:val="0"/>
        </w:rPr>
        <w:t xml:space="preserve">West, G. B., Brown, J. H., &amp; </w:t>
      </w:r>
      <w:proofErr w:type="spellStart"/>
      <w:r w:rsidRPr="0030266E">
        <w:rPr>
          <w:rStyle w:val="Strong"/>
          <w:b w:val="0"/>
        </w:rPr>
        <w:t>Enquist</w:t>
      </w:r>
      <w:proofErr w:type="spellEnd"/>
      <w:r w:rsidRPr="0030266E">
        <w:rPr>
          <w:rStyle w:val="Strong"/>
          <w:b w:val="0"/>
        </w:rPr>
        <w:t>, B. J.</w:t>
      </w:r>
      <w:r w:rsidRPr="0030266E">
        <w:t xml:space="preserve"> (1999). A general model for metabolic scaling.</w:t>
      </w:r>
      <w:r w:rsidRPr="0030266E">
        <w:br/>
      </w:r>
      <w:r w:rsidRPr="0030266E">
        <w:rPr>
          <w:rStyle w:val="Emphasis"/>
        </w:rPr>
        <w:t>Science</w:t>
      </w:r>
      <w:r w:rsidRPr="0030266E">
        <w:t xml:space="preserve">, </w:t>
      </w:r>
      <w:r w:rsidRPr="0030266E">
        <w:rPr>
          <w:rStyle w:val="Strong"/>
          <w:b w:val="0"/>
        </w:rPr>
        <w:t>276</w:t>
      </w:r>
      <w:r w:rsidRPr="0030266E">
        <w:t>, 122–126.</w:t>
      </w:r>
    </w:p>
    <w:p w:rsidR="00172166" w:rsidRPr="0030266E" w:rsidRDefault="00172166" w:rsidP="0030266E">
      <w:pPr>
        <w:pStyle w:val="NormalWeb"/>
        <w:numPr>
          <w:ilvl w:val="0"/>
          <w:numId w:val="14"/>
        </w:numPr>
      </w:pPr>
      <w:proofErr w:type="spellStart"/>
      <w:r w:rsidRPr="0030266E">
        <w:rPr>
          <w:rStyle w:val="Strong"/>
          <w:b w:val="0"/>
        </w:rPr>
        <w:t>Odum</w:t>
      </w:r>
      <w:proofErr w:type="spellEnd"/>
      <w:r w:rsidRPr="0030266E">
        <w:rPr>
          <w:rStyle w:val="Strong"/>
          <w:b w:val="0"/>
        </w:rPr>
        <w:t>, H. T.</w:t>
      </w:r>
      <w:r w:rsidRPr="0030266E">
        <w:t xml:space="preserve"> (1988). Self-organization and energy hierarchy.</w:t>
      </w:r>
      <w:r w:rsidRPr="0030266E">
        <w:br/>
      </w:r>
      <w:r w:rsidRPr="0030266E">
        <w:rPr>
          <w:rStyle w:val="Emphasis"/>
        </w:rPr>
        <w:t>Science</w:t>
      </w:r>
      <w:r w:rsidRPr="0030266E">
        <w:t xml:space="preserve">, </w:t>
      </w:r>
      <w:r w:rsidRPr="0030266E">
        <w:rPr>
          <w:rStyle w:val="Strong"/>
          <w:b w:val="0"/>
        </w:rPr>
        <w:t>242</w:t>
      </w:r>
      <w:r w:rsidRPr="0030266E">
        <w:t>, 1132–1139.</w:t>
      </w:r>
    </w:p>
    <w:p w:rsidR="00172166" w:rsidRDefault="00172166" w:rsidP="00172166"/>
    <w:p w:rsidR="006E2342" w:rsidRDefault="006E2342" w:rsidP="00172166"/>
    <w:p w:rsidR="006E2342" w:rsidRDefault="006E2342" w:rsidP="00172166"/>
    <w:p w:rsidR="006E2342" w:rsidRPr="002A5F06" w:rsidRDefault="006E2342" w:rsidP="006E2342">
      <w:pPr>
        <w:pStyle w:val="ListParagraph"/>
        <w:spacing w:before="100" w:beforeAutospacing="1" w:after="100" w:afterAutospacing="1" w:line="240" w:lineRule="auto"/>
        <w:jc w:val="both"/>
        <w:outlineLvl w:val="1"/>
        <w:rPr>
          <w:sz w:val="28"/>
          <w:szCs w:val="28"/>
        </w:rPr>
      </w:pPr>
      <w:r w:rsidRPr="002A5F06">
        <w:rPr>
          <w:sz w:val="28"/>
          <w:szCs w:val="28"/>
        </w:rPr>
        <w:t>With Respect,</w:t>
      </w:r>
    </w:p>
    <w:p w:rsidR="006E2342" w:rsidRPr="002A5F06" w:rsidRDefault="006E2342" w:rsidP="006E2342">
      <w:pPr>
        <w:pStyle w:val="ListParagraph"/>
        <w:spacing w:before="100" w:beforeAutospacing="1" w:after="100" w:afterAutospacing="1" w:line="240" w:lineRule="auto"/>
        <w:jc w:val="both"/>
        <w:outlineLvl w:val="1"/>
        <w:rPr>
          <w:sz w:val="28"/>
          <w:szCs w:val="28"/>
        </w:rPr>
      </w:pPr>
      <w:proofErr w:type="spellStart"/>
      <w:r w:rsidRPr="002A5F06">
        <w:rPr>
          <w:sz w:val="28"/>
          <w:szCs w:val="28"/>
        </w:rPr>
        <w:t>Mokhdum</w:t>
      </w:r>
      <w:proofErr w:type="spellEnd"/>
      <w:r w:rsidRPr="002A5F06">
        <w:rPr>
          <w:sz w:val="28"/>
          <w:szCs w:val="28"/>
        </w:rPr>
        <w:t xml:space="preserve"> </w:t>
      </w:r>
      <w:proofErr w:type="spellStart"/>
      <w:r>
        <w:rPr>
          <w:sz w:val="28"/>
          <w:szCs w:val="28"/>
        </w:rPr>
        <w:t>Azam</w:t>
      </w:r>
      <w:proofErr w:type="spellEnd"/>
      <w:r>
        <w:rPr>
          <w:sz w:val="28"/>
          <w:szCs w:val="28"/>
        </w:rPr>
        <w:t xml:space="preserve"> </w:t>
      </w:r>
      <w:proofErr w:type="spellStart"/>
      <w:r w:rsidRPr="002A5F06">
        <w:rPr>
          <w:sz w:val="28"/>
          <w:szCs w:val="28"/>
        </w:rPr>
        <w:t>Mashrafi</w:t>
      </w:r>
      <w:proofErr w:type="spellEnd"/>
      <w:r w:rsidRPr="002A5F06">
        <w:rPr>
          <w:sz w:val="28"/>
          <w:szCs w:val="28"/>
        </w:rPr>
        <w:t xml:space="preserve"> (</w:t>
      </w:r>
      <w:proofErr w:type="spellStart"/>
      <w:r w:rsidRPr="002A5F06">
        <w:rPr>
          <w:sz w:val="28"/>
          <w:szCs w:val="28"/>
        </w:rPr>
        <w:t>Mehadi</w:t>
      </w:r>
      <w:proofErr w:type="spellEnd"/>
      <w:r w:rsidRPr="002A5F06">
        <w:rPr>
          <w:sz w:val="28"/>
          <w:szCs w:val="28"/>
        </w:rPr>
        <w:t xml:space="preserve"> </w:t>
      </w:r>
      <w:proofErr w:type="spellStart"/>
      <w:r w:rsidRPr="002A5F06">
        <w:rPr>
          <w:sz w:val="28"/>
          <w:szCs w:val="28"/>
        </w:rPr>
        <w:t>Laja</w:t>
      </w:r>
      <w:proofErr w:type="spellEnd"/>
      <w:r w:rsidRPr="002A5F06">
        <w:rPr>
          <w:sz w:val="28"/>
          <w:szCs w:val="28"/>
        </w:rPr>
        <w:t>)</w:t>
      </w:r>
    </w:p>
    <w:p w:rsidR="006E2342" w:rsidRDefault="006E2342" w:rsidP="006E2342">
      <w:pPr>
        <w:pStyle w:val="ListParagraph"/>
        <w:spacing w:before="100" w:beforeAutospacing="1" w:after="100" w:afterAutospacing="1" w:line="240" w:lineRule="auto"/>
        <w:jc w:val="both"/>
        <w:outlineLvl w:val="1"/>
        <w:rPr>
          <w:sz w:val="28"/>
          <w:szCs w:val="28"/>
        </w:rPr>
      </w:pPr>
      <w:r w:rsidRPr="002A5F06">
        <w:rPr>
          <w:sz w:val="28"/>
          <w:szCs w:val="28"/>
        </w:rPr>
        <w:t xml:space="preserve">Research </w:t>
      </w:r>
      <w:r>
        <w:rPr>
          <w:sz w:val="28"/>
          <w:szCs w:val="28"/>
        </w:rPr>
        <w:t>Associate, Track2Training, India</w:t>
      </w:r>
    </w:p>
    <w:p w:rsidR="006E2342" w:rsidRPr="00F952B2" w:rsidRDefault="006E2342" w:rsidP="006E2342">
      <w:pPr>
        <w:pStyle w:val="ListParagraph"/>
        <w:spacing w:before="100" w:beforeAutospacing="1" w:after="100" w:afterAutospacing="1" w:line="240" w:lineRule="auto"/>
        <w:jc w:val="both"/>
        <w:outlineLvl w:val="1"/>
        <w:rPr>
          <w:sz w:val="28"/>
          <w:szCs w:val="28"/>
        </w:rPr>
      </w:pPr>
      <w:r w:rsidRPr="002A5F06">
        <w:rPr>
          <w:sz w:val="28"/>
          <w:szCs w:val="28"/>
        </w:rPr>
        <w:t>Researcher from Bangladesh</w:t>
      </w:r>
    </w:p>
    <w:p w:rsidR="006E2342" w:rsidRPr="00A159B0" w:rsidRDefault="006E2342" w:rsidP="006E2342">
      <w:pPr>
        <w:spacing w:before="100" w:beforeAutospacing="1" w:after="100" w:afterAutospacing="1" w:line="240" w:lineRule="auto"/>
        <w:outlineLvl w:val="1"/>
        <w:rPr>
          <w:sz w:val="28"/>
          <w:szCs w:val="28"/>
        </w:rPr>
      </w:pPr>
      <w:r>
        <w:rPr>
          <w:sz w:val="28"/>
          <w:szCs w:val="28"/>
        </w:rPr>
        <w:t xml:space="preserve">            </w:t>
      </w:r>
      <w:r w:rsidRPr="002A5F06">
        <w:rPr>
          <w:sz w:val="28"/>
          <w:szCs w:val="28"/>
        </w:rPr>
        <w:t xml:space="preserve">Email: </w:t>
      </w:r>
      <w:hyperlink r:id="rId9" w:history="1">
        <w:r w:rsidRPr="006C2CD5">
          <w:rPr>
            <w:rStyle w:val="Hyperlink"/>
            <w:sz w:val="28"/>
            <w:szCs w:val="28"/>
          </w:rPr>
          <w:t>mehadilaja311@gmail.com</w:t>
        </w:r>
      </w:hyperlink>
    </w:p>
    <w:p w:rsidR="006E2342" w:rsidRDefault="006E2342" w:rsidP="00172166"/>
    <w:sectPr w:rsidR="006E2342" w:rsidSect="00FB726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D66A4"/>
    <w:multiLevelType w:val="multilevel"/>
    <w:tmpl w:val="FA52A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796123"/>
    <w:multiLevelType w:val="multilevel"/>
    <w:tmpl w:val="B0AE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FA22A4"/>
    <w:multiLevelType w:val="multilevel"/>
    <w:tmpl w:val="36A26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24712A"/>
    <w:multiLevelType w:val="multilevel"/>
    <w:tmpl w:val="647A192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DB4DCB"/>
    <w:multiLevelType w:val="multilevel"/>
    <w:tmpl w:val="4FE45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601A04"/>
    <w:multiLevelType w:val="multilevel"/>
    <w:tmpl w:val="A7CA5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750052"/>
    <w:multiLevelType w:val="multilevel"/>
    <w:tmpl w:val="CEE0F9F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6C34ED"/>
    <w:multiLevelType w:val="multilevel"/>
    <w:tmpl w:val="38A09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2A65DD"/>
    <w:multiLevelType w:val="multilevel"/>
    <w:tmpl w:val="57B2C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C66A33"/>
    <w:multiLevelType w:val="multilevel"/>
    <w:tmpl w:val="FD368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462880"/>
    <w:multiLevelType w:val="multilevel"/>
    <w:tmpl w:val="DD3CF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7AE49AE"/>
    <w:multiLevelType w:val="multilevel"/>
    <w:tmpl w:val="AC8CE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EEA5C44"/>
    <w:multiLevelType w:val="multilevel"/>
    <w:tmpl w:val="E72622D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AFD0640"/>
    <w:multiLevelType w:val="multilevel"/>
    <w:tmpl w:val="F3800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17B1BA7"/>
    <w:multiLevelType w:val="multilevel"/>
    <w:tmpl w:val="FA3C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79E1080"/>
    <w:multiLevelType w:val="multilevel"/>
    <w:tmpl w:val="4A9A869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991674E"/>
    <w:multiLevelType w:val="multilevel"/>
    <w:tmpl w:val="ACEA0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05A22BF"/>
    <w:multiLevelType w:val="multilevel"/>
    <w:tmpl w:val="4A88C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E090FC8"/>
    <w:multiLevelType w:val="multilevel"/>
    <w:tmpl w:val="5BE6209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6736278"/>
    <w:multiLevelType w:val="multilevel"/>
    <w:tmpl w:val="ACD4E1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D45167A"/>
    <w:multiLevelType w:val="multilevel"/>
    <w:tmpl w:val="E766D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0"/>
  </w:num>
  <w:num w:numId="4">
    <w:abstractNumId w:val="14"/>
  </w:num>
  <w:num w:numId="5">
    <w:abstractNumId w:val="2"/>
  </w:num>
  <w:num w:numId="6">
    <w:abstractNumId w:val="5"/>
  </w:num>
  <w:num w:numId="7">
    <w:abstractNumId w:val="7"/>
  </w:num>
  <w:num w:numId="8">
    <w:abstractNumId w:val="16"/>
  </w:num>
  <w:num w:numId="9">
    <w:abstractNumId w:val="19"/>
  </w:num>
  <w:num w:numId="10">
    <w:abstractNumId w:val="18"/>
  </w:num>
  <w:num w:numId="11">
    <w:abstractNumId w:val="3"/>
  </w:num>
  <w:num w:numId="12">
    <w:abstractNumId w:val="15"/>
  </w:num>
  <w:num w:numId="13">
    <w:abstractNumId w:val="12"/>
  </w:num>
  <w:num w:numId="14">
    <w:abstractNumId w:val="6"/>
  </w:num>
  <w:num w:numId="15">
    <w:abstractNumId w:val="20"/>
  </w:num>
  <w:num w:numId="16">
    <w:abstractNumId w:val="1"/>
  </w:num>
  <w:num w:numId="17">
    <w:abstractNumId w:val="0"/>
  </w:num>
  <w:num w:numId="18">
    <w:abstractNumId w:val="8"/>
  </w:num>
  <w:num w:numId="19">
    <w:abstractNumId w:val="17"/>
  </w:num>
  <w:num w:numId="20">
    <w:abstractNumId w:val="4"/>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72166"/>
    <w:rsid w:val="00010F43"/>
    <w:rsid w:val="00172166"/>
    <w:rsid w:val="002960E1"/>
    <w:rsid w:val="0030266E"/>
    <w:rsid w:val="003959A3"/>
    <w:rsid w:val="006E2342"/>
    <w:rsid w:val="00960A98"/>
    <w:rsid w:val="00C152DF"/>
    <w:rsid w:val="00DD340E"/>
    <w:rsid w:val="00E12139"/>
    <w:rsid w:val="00E21408"/>
    <w:rsid w:val="00E34E0B"/>
    <w:rsid w:val="00ED0A73"/>
    <w:rsid w:val="00FB72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261"/>
  </w:style>
  <w:style w:type="paragraph" w:styleId="Heading1">
    <w:name w:val="heading 1"/>
    <w:basedOn w:val="Normal"/>
    <w:link w:val="Heading1Char"/>
    <w:uiPriority w:val="9"/>
    <w:qFormat/>
    <w:rsid w:val="0017216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1721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72166"/>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17216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2166"/>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172166"/>
    <w:rPr>
      <w:b/>
      <w:bCs/>
    </w:rPr>
  </w:style>
  <w:style w:type="character" w:customStyle="1" w:styleId="Heading2Char">
    <w:name w:val="Heading 2 Char"/>
    <w:basedOn w:val="DefaultParagraphFont"/>
    <w:link w:val="Heading2"/>
    <w:uiPriority w:val="9"/>
    <w:semiHidden/>
    <w:rsid w:val="00172166"/>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172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atex-mathml">
    <w:name w:val="katex-mathml"/>
    <w:basedOn w:val="DefaultParagraphFont"/>
    <w:rsid w:val="00172166"/>
  </w:style>
  <w:style w:type="character" w:customStyle="1" w:styleId="mord">
    <w:name w:val="mord"/>
    <w:basedOn w:val="DefaultParagraphFont"/>
    <w:rsid w:val="00172166"/>
  </w:style>
  <w:style w:type="character" w:customStyle="1" w:styleId="mrel">
    <w:name w:val="mrel"/>
    <w:basedOn w:val="DefaultParagraphFont"/>
    <w:rsid w:val="00172166"/>
  </w:style>
  <w:style w:type="character" w:customStyle="1" w:styleId="mbin">
    <w:name w:val="mbin"/>
    <w:basedOn w:val="DefaultParagraphFont"/>
    <w:rsid w:val="00172166"/>
  </w:style>
  <w:style w:type="character" w:customStyle="1" w:styleId="vlist-s">
    <w:name w:val="vlist-s"/>
    <w:basedOn w:val="DefaultParagraphFont"/>
    <w:rsid w:val="00172166"/>
  </w:style>
  <w:style w:type="character" w:customStyle="1" w:styleId="mpunct">
    <w:name w:val="mpunct"/>
    <w:basedOn w:val="DefaultParagraphFont"/>
    <w:rsid w:val="00172166"/>
  </w:style>
  <w:style w:type="character" w:customStyle="1" w:styleId="mopen">
    <w:name w:val="mopen"/>
    <w:basedOn w:val="DefaultParagraphFont"/>
    <w:rsid w:val="00172166"/>
  </w:style>
  <w:style w:type="character" w:customStyle="1" w:styleId="mclose">
    <w:name w:val="mclose"/>
    <w:basedOn w:val="DefaultParagraphFont"/>
    <w:rsid w:val="00172166"/>
  </w:style>
  <w:style w:type="character" w:customStyle="1" w:styleId="mop">
    <w:name w:val="mop"/>
    <w:basedOn w:val="DefaultParagraphFont"/>
    <w:rsid w:val="00172166"/>
  </w:style>
  <w:style w:type="character" w:customStyle="1" w:styleId="Heading3Char">
    <w:name w:val="Heading 3 Char"/>
    <w:basedOn w:val="DefaultParagraphFont"/>
    <w:link w:val="Heading3"/>
    <w:uiPriority w:val="9"/>
    <w:semiHidden/>
    <w:rsid w:val="00172166"/>
    <w:rPr>
      <w:rFonts w:asciiTheme="majorHAnsi" w:eastAsiaTheme="majorEastAsia" w:hAnsiTheme="majorHAnsi" w:cstheme="majorBidi"/>
      <w:b/>
      <w:bCs/>
      <w:color w:val="4F81BD" w:themeColor="accent1"/>
    </w:rPr>
  </w:style>
  <w:style w:type="character" w:customStyle="1" w:styleId="Heading5Char">
    <w:name w:val="Heading 5 Char"/>
    <w:basedOn w:val="DefaultParagraphFont"/>
    <w:link w:val="Heading5"/>
    <w:uiPriority w:val="9"/>
    <w:semiHidden/>
    <w:rsid w:val="00172166"/>
    <w:rPr>
      <w:rFonts w:asciiTheme="majorHAnsi" w:eastAsiaTheme="majorEastAsia" w:hAnsiTheme="majorHAnsi" w:cstheme="majorBidi"/>
      <w:color w:val="243F60" w:themeColor="accent1" w:themeShade="7F"/>
    </w:rPr>
  </w:style>
  <w:style w:type="character" w:styleId="Emphasis">
    <w:name w:val="Emphasis"/>
    <w:basedOn w:val="DefaultParagraphFont"/>
    <w:uiPriority w:val="20"/>
    <w:qFormat/>
    <w:rsid w:val="00172166"/>
    <w:rPr>
      <w:i/>
      <w:iCs/>
    </w:rPr>
  </w:style>
  <w:style w:type="paragraph" w:styleId="BalloonText">
    <w:name w:val="Balloon Text"/>
    <w:basedOn w:val="Normal"/>
    <w:link w:val="BalloonTextChar"/>
    <w:uiPriority w:val="99"/>
    <w:semiHidden/>
    <w:unhideWhenUsed/>
    <w:rsid w:val="002960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60E1"/>
    <w:rPr>
      <w:rFonts w:ascii="Tahoma" w:hAnsi="Tahoma" w:cs="Tahoma"/>
      <w:sz w:val="16"/>
      <w:szCs w:val="16"/>
    </w:rPr>
  </w:style>
  <w:style w:type="character" w:customStyle="1" w:styleId="delimsizing">
    <w:name w:val="delimsizing"/>
    <w:basedOn w:val="DefaultParagraphFont"/>
    <w:rsid w:val="00ED0A73"/>
  </w:style>
  <w:style w:type="character" w:customStyle="1" w:styleId="relative">
    <w:name w:val="relative"/>
    <w:basedOn w:val="DefaultParagraphFont"/>
    <w:rsid w:val="00ED0A73"/>
  </w:style>
  <w:style w:type="paragraph" w:customStyle="1" w:styleId="not-prose">
    <w:name w:val="not-prose"/>
    <w:basedOn w:val="Normal"/>
    <w:rsid w:val="00ED0A73"/>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E2342"/>
    <w:pPr>
      <w:ind w:left="720"/>
      <w:contextualSpacing/>
    </w:pPr>
  </w:style>
  <w:style w:type="character" w:styleId="Hyperlink">
    <w:name w:val="Hyperlink"/>
    <w:basedOn w:val="DefaultParagraphFont"/>
    <w:uiPriority w:val="99"/>
    <w:semiHidden/>
    <w:unhideWhenUsed/>
    <w:rsid w:val="006E2342"/>
    <w:rPr>
      <w:color w:val="0000FF"/>
      <w:u w:val="single"/>
    </w:rPr>
  </w:style>
</w:styles>
</file>

<file path=word/webSettings.xml><?xml version="1.0" encoding="utf-8"?>
<w:webSettings xmlns:r="http://schemas.openxmlformats.org/officeDocument/2006/relationships" xmlns:w="http://schemas.openxmlformats.org/wordprocessingml/2006/main">
  <w:divs>
    <w:div w:id="241762450">
      <w:bodyDiv w:val="1"/>
      <w:marLeft w:val="0"/>
      <w:marRight w:val="0"/>
      <w:marTop w:val="0"/>
      <w:marBottom w:val="0"/>
      <w:divBdr>
        <w:top w:val="none" w:sz="0" w:space="0" w:color="auto"/>
        <w:left w:val="none" w:sz="0" w:space="0" w:color="auto"/>
        <w:bottom w:val="none" w:sz="0" w:space="0" w:color="auto"/>
        <w:right w:val="none" w:sz="0" w:space="0" w:color="auto"/>
      </w:divBdr>
    </w:div>
    <w:div w:id="276764624">
      <w:bodyDiv w:val="1"/>
      <w:marLeft w:val="0"/>
      <w:marRight w:val="0"/>
      <w:marTop w:val="0"/>
      <w:marBottom w:val="0"/>
      <w:divBdr>
        <w:top w:val="none" w:sz="0" w:space="0" w:color="auto"/>
        <w:left w:val="none" w:sz="0" w:space="0" w:color="auto"/>
        <w:bottom w:val="none" w:sz="0" w:space="0" w:color="auto"/>
        <w:right w:val="none" w:sz="0" w:space="0" w:color="auto"/>
      </w:divBdr>
    </w:div>
    <w:div w:id="342243764">
      <w:bodyDiv w:val="1"/>
      <w:marLeft w:val="0"/>
      <w:marRight w:val="0"/>
      <w:marTop w:val="0"/>
      <w:marBottom w:val="0"/>
      <w:divBdr>
        <w:top w:val="none" w:sz="0" w:space="0" w:color="auto"/>
        <w:left w:val="none" w:sz="0" w:space="0" w:color="auto"/>
        <w:bottom w:val="none" w:sz="0" w:space="0" w:color="auto"/>
        <w:right w:val="none" w:sz="0" w:space="0" w:color="auto"/>
      </w:divBdr>
    </w:div>
    <w:div w:id="505706525">
      <w:bodyDiv w:val="1"/>
      <w:marLeft w:val="0"/>
      <w:marRight w:val="0"/>
      <w:marTop w:val="0"/>
      <w:marBottom w:val="0"/>
      <w:divBdr>
        <w:top w:val="none" w:sz="0" w:space="0" w:color="auto"/>
        <w:left w:val="none" w:sz="0" w:space="0" w:color="auto"/>
        <w:bottom w:val="none" w:sz="0" w:space="0" w:color="auto"/>
        <w:right w:val="none" w:sz="0" w:space="0" w:color="auto"/>
      </w:divBdr>
      <w:divsChild>
        <w:div w:id="592978981">
          <w:marLeft w:val="0"/>
          <w:marRight w:val="0"/>
          <w:marTop w:val="0"/>
          <w:marBottom w:val="0"/>
          <w:divBdr>
            <w:top w:val="none" w:sz="0" w:space="0" w:color="auto"/>
            <w:left w:val="none" w:sz="0" w:space="0" w:color="auto"/>
            <w:bottom w:val="none" w:sz="0" w:space="0" w:color="auto"/>
            <w:right w:val="none" w:sz="0" w:space="0" w:color="auto"/>
          </w:divBdr>
          <w:divsChild>
            <w:div w:id="39287841">
              <w:marLeft w:val="0"/>
              <w:marRight w:val="0"/>
              <w:marTop w:val="0"/>
              <w:marBottom w:val="0"/>
              <w:divBdr>
                <w:top w:val="none" w:sz="0" w:space="0" w:color="auto"/>
                <w:left w:val="none" w:sz="0" w:space="0" w:color="auto"/>
                <w:bottom w:val="none" w:sz="0" w:space="0" w:color="auto"/>
                <w:right w:val="none" w:sz="0" w:space="0" w:color="auto"/>
              </w:divBdr>
              <w:divsChild>
                <w:div w:id="69738855">
                  <w:marLeft w:val="0"/>
                  <w:marRight w:val="0"/>
                  <w:marTop w:val="0"/>
                  <w:marBottom w:val="0"/>
                  <w:divBdr>
                    <w:top w:val="none" w:sz="0" w:space="0" w:color="auto"/>
                    <w:left w:val="none" w:sz="0" w:space="0" w:color="auto"/>
                    <w:bottom w:val="none" w:sz="0" w:space="0" w:color="auto"/>
                    <w:right w:val="none" w:sz="0" w:space="0" w:color="auto"/>
                  </w:divBdr>
                  <w:divsChild>
                    <w:div w:id="1279069355">
                      <w:marLeft w:val="0"/>
                      <w:marRight w:val="0"/>
                      <w:marTop w:val="0"/>
                      <w:marBottom w:val="0"/>
                      <w:divBdr>
                        <w:top w:val="none" w:sz="0" w:space="0" w:color="auto"/>
                        <w:left w:val="none" w:sz="0" w:space="0" w:color="auto"/>
                        <w:bottom w:val="none" w:sz="0" w:space="0" w:color="auto"/>
                        <w:right w:val="none" w:sz="0" w:space="0" w:color="auto"/>
                      </w:divBdr>
                      <w:divsChild>
                        <w:div w:id="600065127">
                          <w:marLeft w:val="0"/>
                          <w:marRight w:val="0"/>
                          <w:marTop w:val="0"/>
                          <w:marBottom w:val="0"/>
                          <w:divBdr>
                            <w:top w:val="none" w:sz="0" w:space="0" w:color="auto"/>
                            <w:left w:val="none" w:sz="0" w:space="0" w:color="auto"/>
                            <w:bottom w:val="none" w:sz="0" w:space="0" w:color="auto"/>
                            <w:right w:val="none" w:sz="0" w:space="0" w:color="auto"/>
                          </w:divBdr>
                          <w:divsChild>
                            <w:div w:id="23108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2480802">
          <w:marLeft w:val="0"/>
          <w:marRight w:val="0"/>
          <w:marTop w:val="0"/>
          <w:marBottom w:val="0"/>
          <w:divBdr>
            <w:top w:val="none" w:sz="0" w:space="0" w:color="auto"/>
            <w:left w:val="none" w:sz="0" w:space="0" w:color="auto"/>
            <w:bottom w:val="none" w:sz="0" w:space="0" w:color="auto"/>
            <w:right w:val="none" w:sz="0" w:space="0" w:color="auto"/>
          </w:divBdr>
          <w:divsChild>
            <w:div w:id="1346397466">
              <w:marLeft w:val="0"/>
              <w:marRight w:val="0"/>
              <w:marTop w:val="0"/>
              <w:marBottom w:val="0"/>
              <w:divBdr>
                <w:top w:val="none" w:sz="0" w:space="0" w:color="auto"/>
                <w:left w:val="none" w:sz="0" w:space="0" w:color="auto"/>
                <w:bottom w:val="none" w:sz="0" w:space="0" w:color="auto"/>
                <w:right w:val="none" w:sz="0" w:space="0" w:color="auto"/>
              </w:divBdr>
              <w:divsChild>
                <w:div w:id="102698461">
                  <w:marLeft w:val="0"/>
                  <w:marRight w:val="0"/>
                  <w:marTop w:val="0"/>
                  <w:marBottom w:val="0"/>
                  <w:divBdr>
                    <w:top w:val="none" w:sz="0" w:space="0" w:color="auto"/>
                    <w:left w:val="none" w:sz="0" w:space="0" w:color="auto"/>
                    <w:bottom w:val="none" w:sz="0" w:space="0" w:color="auto"/>
                    <w:right w:val="none" w:sz="0" w:space="0" w:color="auto"/>
                  </w:divBdr>
                  <w:divsChild>
                    <w:div w:id="1687250277">
                      <w:marLeft w:val="0"/>
                      <w:marRight w:val="0"/>
                      <w:marTop w:val="0"/>
                      <w:marBottom w:val="0"/>
                      <w:divBdr>
                        <w:top w:val="none" w:sz="0" w:space="0" w:color="auto"/>
                        <w:left w:val="none" w:sz="0" w:space="0" w:color="auto"/>
                        <w:bottom w:val="none" w:sz="0" w:space="0" w:color="auto"/>
                        <w:right w:val="none" w:sz="0" w:space="0" w:color="auto"/>
                      </w:divBdr>
                      <w:divsChild>
                        <w:div w:id="204603972">
                          <w:marLeft w:val="0"/>
                          <w:marRight w:val="0"/>
                          <w:marTop w:val="0"/>
                          <w:marBottom w:val="0"/>
                          <w:divBdr>
                            <w:top w:val="none" w:sz="0" w:space="0" w:color="auto"/>
                            <w:left w:val="none" w:sz="0" w:space="0" w:color="auto"/>
                            <w:bottom w:val="none" w:sz="0" w:space="0" w:color="auto"/>
                            <w:right w:val="none" w:sz="0" w:space="0" w:color="auto"/>
                          </w:divBdr>
                          <w:divsChild>
                            <w:div w:id="993068600">
                              <w:marLeft w:val="0"/>
                              <w:marRight w:val="0"/>
                              <w:marTop w:val="0"/>
                              <w:marBottom w:val="0"/>
                              <w:divBdr>
                                <w:top w:val="none" w:sz="0" w:space="0" w:color="auto"/>
                                <w:left w:val="none" w:sz="0" w:space="0" w:color="auto"/>
                                <w:bottom w:val="none" w:sz="0" w:space="0" w:color="auto"/>
                                <w:right w:val="none" w:sz="0" w:space="0" w:color="auto"/>
                              </w:divBdr>
                              <w:divsChild>
                                <w:div w:id="65426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2830492">
      <w:bodyDiv w:val="1"/>
      <w:marLeft w:val="0"/>
      <w:marRight w:val="0"/>
      <w:marTop w:val="0"/>
      <w:marBottom w:val="0"/>
      <w:divBdr>
        <w:top w:val="none" w:sz="0" w:space="0" w:color="auto"/>
        <w:left w:val="none" w:sz="0" w:space="0" w:color="auto"/>
        <w:bottom w:val="none" w:sz="0" w:space="0" w:color="auto"/>
        <w:right w:val="none" w:sz="0" w:space="0" w:color="auto"/>
      </w:divBdr>
      <w:divsChild>
        <w:div w:id="1501117818">
          <w:marLeft w:val="0"/>
          <w:marRight w:val="0"/>
          <w:marTop w:val="0"/>
          <w:marBottom w:val="0"/>
          <w:divBdr>
            <w:top w:val="none" w:sz="0" w:space="0" w:color="auto"/>
            <w:left w:val="none" w:sz="0" w:space="0" w:color="auto"/>
            <w:bottom w:val="none" w:sz="0" w:space="0" w:color="auto"/>
            <w:right w:val="none" w:sz="0" w:space="0" w:color="auto"/>
          </w:divBdr>
          <w:divsChild>
            <w:div w:id="1718505750">
              <w:marLeft w:val="0"/>
              <w:marRight w:val="0"/>
              <w:marTop w:val="0"/>
              <w:marBottom w:val="0"/>
              <w:divBdr>
                <w:top w:val="none" w:sz="0" w:space="0" w:color="auto"/>
                <w:left w:val="none" w:sz="0" w:space="0" w:color="auto"/>
                <w:bottom w:val="none" w:sz="0" w:space="0" w:color="auto"/>
                <w:right w:val="none" w:sz="0" w:space="0" w:color="auto"/>
              </w:divBdr>
            </w:div>
          </w:divsChild>
        </w:div>
        <w:div w:id="21288901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0277715">
      <w:bodyDiv w:val="1"/>
      <w:marLeft w:val="0"/>
      <w:marRight w:val="0"/>
      <w:marTop w:val="0"/>
      <w:marBottom w:val="0"/>
      <w:divBdr>
        <w:top w:val="none" w:sz="0" w:space="0" w:color="auto"/>
        <w:left w:val="none" w:sz="0" w:space="0" w:color="auto"/>
        <w:bottom w:val="none" w:sz="0" w:space="0" w:color="auto"/>
        <w:right w:val="none" w:sz="0" w:space="0" w:color="auto"/>
      </w:divBdr>
    </w:div>
    <w:div w:id="702024197">
      <w:bodyDiv w:val="1"/>
      <w:marLeft w:val="0"/>
      <w:marRight w:val="0"/>
      <w:marTop w:val="0"/>
      <w:marBottom w:val="0"/>
      <w:divBdr>
        <w:top w:val="none" w:sz="0" w:space="0" w:color="auto"/>
        <w:left w:val="none" w:sz="0" w:space="0" w:color="auto"/>
        <w:bottom w:val="none" w:sz="0" w:space="0" w:color="auto"/>
        <w:right w:val="none" w:sz="0" w:space="0" w:color="auto"/>
      </w:divBdr>
      <w:divsChild>
        <w:div w:id="1312372054">
          <w:marLeft w:val="0"/>
          <w:marRight w:val="0"/>
          <w:marTop w:val="0"/>
          <w:marBottom w:val="0"/>
          <w:divBdr>
            <w:top w:val="none" w:sz="0" w:space="0" w:color="auto"/>
            <w:left w:val="none" w:sz="0" w:space="0" w:color="auto"/>
            <w:bottom w:val="none" w:sz="0" w:space="0" w:color="auto"/>
            <w:right w:val="none" w:sz="0" w:space="0" w:color="auto"/>
          </w:divBdr>
          <w:divsChild>
            <w:div w:id="1114061910">
              <w:marLeft w:val="0"/>
              <w:marRight w:val="0"/>
              <w:marTop w:val="0"/>
              <w:marBottom w:val="0"/>
              <w:divBdr>
                <w:top w:val="none" w:sz="0" w:space="0" w:color="auto"/>
                <w:left w:val="none" w:sz="0" w:space="0" w:color="auto"/>
                <w:bottom w:val="none" w:sz="0" w:space="0" w:color="auto"/>
                <w:right w:val="none" w:sz="0" w:space="0" w:color="auto"/>
              </w:divBdr>
            </w:div>
          </w:divsChild>
        </w:div>
        <w:div w:id="7697435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8431765">
      <w:bodyDiv w:val="1"/>
      <w:marLeft w:val="0"/>
      <w:marRight w:val="0"/>
      <w:marTop w:val="0"/>
      <w:marBottom w:val="0"/>
      <w:divBdr>
        <w:top w:val="none" w:sz="0" w:space="0" w:color="auto"/>
        <w:left w:val="none" w:sz="0" w:space="0" w:color="auto"/>
        <w:bottom w:val="none" w:sz="0" w:space="0" w:color="auto"/>
        <w:right w:val="none" w:sz="0" w:space="0" w:color="auto"/>
      </w:divBdr>
    </w:div>
    <w:div w:id="858812602">
      <w:bodyDiv w:val="1"/>
      <w:marLeft w:val="0"/>
      <w:marRight w:val="0"/>
      <w:marTop w:val="0"/>
      <w:marBottom w:val="0"/>
      <w:divBdr>
        <w:top w:val="none" w:sz="0" w:space="0" w:color="auto"/>
        <w:left w:val="none" w:sz="0" w:space="0" w:color="auto"/>
        <w:bottom w:val="none" w:sz="0" w:space="0" w:color="auto"/>
        <w:right w:val="none" w:sz="0" w:space="0" w:color="auto"/>
      </w:divBdr>
    </w:div>
    <w:div w:id="1085804267">
      <w:bodyDiv w:val="1"/>
      <w:marLeft w:val="0"/>
      <w:marRight w:val="0"/>
      <w:marTop w:val="0"/>
      <w:marBottom w:val="0"/>
      <w:divBdr>
        <w:top w:val="none" w:sz="0" w:space="0" w:color="auto"/>
        <w:left w:val="none" w:sz="0" w:space="0" w:color="auto"/>
        <w:bottom w:val="none" w:sz="0" w:space="0" w:color="auto"/>
        <w:right w:val="none" w:sz="0" w:space="0" w:color="auto"/>
      </w:divBdr>
    </w:div>
    <w:div w:id="1273703738">
      <w:bodyDiv w:val="1"/>
      <w:marLeft w:val="0"/>
      <w:marRight w:val="0"/>
      <w:marTop w:val="0"/>
      <w:marBottom w:val="0"/>
      <w:divBdr>
        <w:top w:val="none" w:sz="0" w:space="0" w:color="auto"/>
        <w:left w:val="none" w:sz="0" w:space="0" w:color="auto"/>
        <w:bottom w:val="none" w:sz="0" w:space="0" w:color="auto"/>
        <w:right w:val="none" w:sz="0" w:space="0" w:color="auto"/>
      </w:divBdr>
    </w:div>
    <w:div w:id="1437603609">
      <w:bodyDiv w:val="1"/>
      <w:marLeft w:val="0"/>
      <w:marRight w:val="0"/>
      <w:marTop w:val="0"/>
      <w:marBottom w:val="0"/>
      <w:divBdr>
        <w:top w:val="none" w:sz="0" w:space="0" w:color="auto"/>
        <w:left w:val="none" w:sz="0" w:space="0" w:color="auto"/>
        <w:bottom w:val="none" w:sz="0" w:space="0" w:color="auto"/>
        <w:right w:val="none" w:sz="0" w:space="0" w:color="auto"/>
      </w:divBdr>
    </w:div>
    <w:div w:id="1668089867">
      <w:bodyDiv w:val="1"/>
      <w:marLeft w:val="0"/>
      <w:marRight w:val="0"/>
      <w:marTop w:val="0"/>
      <w:marBottom w:val="0"/>
      <w:divBdr>
        <w:top w:val="none" w:sz="0" w:space="0" w:color="auto"/>
        <w:left w:val="none" w:sz="0" w:space="0" w:color="auto"/>
        <w:bottom w:val="none" w:sz="0" w:space="0" w:color="auto"/>
        <w:right w:val="none" w:sz="0" w:space="0" w:color="auto"/>
      </w:divBdr>
    </w:div>
    <w:div w:id="1671637825">
      <w:bodyDiv w:val="1"/>
      <w:marLeft w:val="0"/>
      <w:marRight w:val="0"/>
      <w:marTop w:val="0"/>
      <w:marBottom w:val="0"/>
      <w:divBdr>
        <w:top w:val="none" w:sz="0" w:space="0" w:color="auto"/>
        <w:left w:val="none" w:sz="0" w:space="0" w:color="auto"/>
        <w:bottom w:val="none" w:sz="0" w:space="0" w:color="auto"/>
        <w:right w:val="none" w:sz="0" w:space="0" w:color="auto"/>
      </w:divBdr>
    </w:div>
    <w:div w:id="1905414460">
      <w:bodyDiv w:val="1"/>
      <w:marLeft w:val="0"/>
      <w:marRight w:val="0"/>
      <w:marTop w:val="0"/>
      <w:marBottom w:val="0"/>
      <w:divBdr>
        <w:top w:val="none" w:sz="0" w:space="0" w:color="auto"/>
        <w:left w:val="none" w:sz="0" w:space="0" w:color="auto"/>
        <w:bottom w:val="none" w:sz="0" w:space="0" w:color="auto"/>
        <w:right w:val="none" w:sz="0" w:space="0" w:color="auto"/>
      </w:divBdr>
    </w:div>
    <w:div w:id="212645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ehadilaja311@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31</Pages>
  <Words>10394</Words>
  <Characters>59246</Characters>
  <Application>Microsoft Office Word</Application>
  <DocSecurity>0</DocSecurity>
  <Lines>493</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dc:creator>
  <cp:lastModifiedBy>Personal</cp:lastModifiedBy>
  <cp:revision>5</cp:revision>
  <dcterms:created xsi:type="dcterms:W3CDTF">2026-02-06T14:14:00Z</dcterms:created>
  <dcterms:modified xsi:type="dcterms:W3CDTF">2026-02-06T14:32:00Z</dcterms:modified>
</cp:coreProperties>
</file>